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3B3779">
      <w:pPr>
        <w:pStyle w:val="19"/>
        <w:spacing w:line="360" w:lineRule="auto"/>
        <w:rPr>
          <w:rFonts w:hint="default"/>
        </w:rPr>
      </w:pPr>
    </w:p>
    <w:p w14:paraId="0ECBDB60">
      <w:pPr>
        <w:pStyle w:val="19"/>
        <w:spacing w:line="360" w:lineRule="auto"/>
        <w:rPr>
          <w:rFonts w:hint="default"/>
        </w:rPr>
      </w:pPr>
    </w:p>
    <w:p w14:paraId="3DABB11D">
      <w:pPr>
        <w:pStyle w:val="19"/>
        <w:spacing w:line="360" w:lineRule="auto"/>
        <w:rPr>
          <w:rFonts w:hint="default"/>
        </w:rPr>
      </w:pPr>
    </w:p>
    <w:p w14:paraId="5902C999">
      <w:pPr>
        <w:pStyle w:val="19"/>
        <w:spacing w:line="360" w:lineRule="auto"/>
        <w:ind w:firstLine="480"/>
        <w:jc w:val="center"/>
        <w:rPr>
          <w:rFonts w:hint="eastAsia"/>
          <w:b/>
          <w:sz w:val="48"/>
          <w:lang w:val="en-US" w:eastAsia="zh-CN"/>
        </w:rPr>
      </w:pPr>
      <w:r>
        <w:rPr>
          <w:rFonts w:hint="eastAsia"/>
          <w:b/>
          <w:sz w:val="48"/>
          <w:lang w:val="en-US" w:eastAsia="zh-CN"/>
        </w:rPr>
        <w:t>广州医科大学附属第五医院</w:t>
      </w:r>
    </w:p>
    <w:p w14:paraId="6E489546">
      <w:pPr>
        <w:pStyle w:val="19"/>
        <w:spacing w:line="360" w:lineRule="auto"/>
        <w:ind w:firstLine="480"/>
        <w:jc w:val="center"/>
        <w:rPr>
          <w:rFonts w:hint="default"/>
        </w:rPr>
        <w:sectPr>
          <w:footerReference r:id="rId3" w:type="default"/>
          <w:pgSz w:w="11906" w:h="16838"/>
          <w:pgMar w:top="1440" w:right="1800" w:bottom="1440" w:left="1800" w:header="851" w:footer="992" w:gutter="0"/>
          <w:cols w:space="425" w:num="1"/>
          <w:docGrid w:type="lines" w:linePitch="312" w:charSpace="0"/>
        </w:sectPr>
      </w:pPr>
      <w:r>
        <w:rPr>
          <w:b/>
          <w:sz w:val="48"/>
        </w:rPr>
        <w:t>询价通知书</w:t>
      </w:r>
      <w:r>
        <w:br w:type="textWrapping"/>
      </w:r>
      <w:r>
        <w:br w:type="textWrapping"/>
      </w:r>
      <w:r>
        <w:br w:type="textWrapping"/>
      </w:r>
      <w:r>
        <w:br w:type="textWrapping"/>
      </w:r>
      <w:r>
        <w:br w:type="textWrapping"/>
      </w:r>
      <w:r>
        <w:br w:type="textWrapping"/>
      </w:r>
      <w:r>
        <w:br w:type="textWrapping"/>
      </w:r>
      <w:r>
        <w:br w:type="textWrapping"/>
      </w:r>
      <w:r>
        <w:br w:type="textWrapping"/>
      </w:r>
    </w:p>
    <w:p w14:paraId="6E913D19">
      <w:pPr>
        <w:pStyle w:val="19"/>
        <w:spacing w:line="360" w:lineRule="auto"/>
        <w:jc w:val="center"/>
        <w:outlineLvl w:val="0"/>
        <w:rPr>
          <w:rFonts w:hint="default"/>
        </w:rPr>
      </w:pPr>
      <w:bookmarkStart w:id="0" w:name="_Toc181637019"/>
      <w:r>
        <w:rPr>
          <w:b/>
          <w:sz w:val="36"/>
        </w:rPr>
        <w:t>第一章 询价邀请</w:t>
      </w:r>
      <w:bookmarkEnd w:id="0"/>
    </w:p>
    <w:p w14:paraId="787C76FE">
      <w:pPr>
        <w:pStyle w:val="19"/>
        <w:spacing w:line="360" w:lineRule="auto"/>
        <w:rPr>
          <w:rFonts w:hint="default"/>
        </w:rPr>
      </w:pPr>
      <w:r>
        <w:rPr>
          <w:b/>
          <w:sz w:val="28"/>
        </w:rPr>
        <w:t>一.项目概述</w:t>
      </w:r>
    </w:p>
    <w:p w14:paraId="59EDE003">
      <w:pPr>
        <w:pStyle w:val="19"/>
        <w:spacing w:line="360" w:lineRule="auto"/>
        <w:rPr>
          <w:rFonts w:hint="default"/>
        </w:rPr>
      </w:pPr>
      <w:r>
        <w:rPr>
          <w:b/>
          <w:sz w:val="24"/>
        </w:rPr>
        <w:t>1.名称与编号</w:t>
      </w:r>
    </w:p>
    <w:p w14:paraId="787D6648">
      <w:pPr>
        <w:pStyle w:val="19"/>
        <w:spacing w:line="360" w:lineRule="auto"/>
        <w:ind w:firstLine="480"/>
        <w:rPr>
          <w:rFonts w:hint="default" w:ascii="Times New Roman" w:hAnsi="Times New Roman" w:eastAsia="宋体" w:cs="Times New Roman"/>
          <w:szCs w:val="21"/>
          <w:lang w:val="en-US" w:eastAsia="zh-CN"/>
        </w:rPr>
      </w:pPr>
      <w:r>
        <w:t>项目名称：</w:t>
      </w:r>
      <w:r>
        <w:rPr>
          <w:rFonts w:hint="eastAsia" w:ascii="Times New Roman" w:hAnsi="Times New Roman" w:eastAsia="宋体" w:cs="Times New Roman"/>
          <w:szCs w:val="21"/>
          <w:lang w:val="en-US" w:eastAsia="zh-CN"/>
        </w:rPr>
        <w:t xml:space="preserve">WB电泳转膜设备(含电源)           </w:t>
      </w:r>
    </w:p>
    <w:p w14:paraId="20B490A2">
      <w:pPr>
        <w:pStyle w:val="19"/>
        <w:spacing w:line="360" w:lineRule="auto"/>
        <w:ind w:firstLine="480"/>
        <w:rPr>
          <w:rFonts w:hint="default"/>
        </w:rPr>
      </w:pPr>
      <w:r>
        <w:t>采购项目编号：</w:t>
      </w:r>
      <w:r>
        <w:rPr>
          <w:rFonts w:hint="eastAsia" w:ascii="Times New Roman" w:hAnsi="Times New Roman" w:eastAsia="宋体" w:cs="Times New Roman"/>
          <w:szCs w:val="21"/>
          <w:lang w:val="en-US" w:eastAsia="zh-CN"/>
        </w:rPr>
        <w:t>广五设备询[2025]11号</w:t>
      </w:r>
      <w:r>
        <w:rPr>
          <w:rFonts w:hint="eastAsia"/>
          <w:szCs w:val="21"/>
          <w:lang w:val="en-US" w:eastAsia="zh-CN"/>
        </w:rPr>
        <w:t xml:space="preserve"> </w:t>
      </w:r>
    </w:p>
    <w:p w14:paraId="4A1D587D">
      <w:pPr>
        <w:pStyle w:val="19"/>
        <w:spacing w:line="360" w:lineRule="auto"/>
        <w:ind w:firstLine="480"/>
      </w:pPr>
      <w:r>
        <w:t>采购方式：询价</w:t>
      </w:r>
    </w:p>
    <w:p w14:paraId="5B3CBF1F">
      <w:pPr>
        <w:pStyle w:val="19"/>
        <w:spacing w:line="360" w:lineRule="auto"/>
        <w:ind w:firstLine="480"/>
        <w:rPr>
          <w:rFonts w:hint="default" w:eastAsiaTheme="minorEastAsia"/>
          <w:lang w:val="en-US" w:eastAsia="zh-CN"/>
        </w:rPr>
      </w:pPr>
      <w:r>
        <w:rPr>
          <w:rFonts w:hint="eastAsia"/>
          <w:lang w:val="en-US" w:eastAsia="zh-CN"/>
        </w:rPr>
        <w:t>预算：75000元</w:t>
      </w:r>
    </w:p>
    <w:p w14:paraId="295C1A2A">
      <w:pPr>
        <w:pStyle w:val="19"/>
        <w:spacing w:line="360" w:lineRule="auto"/>
        <w:rPr>
          <w:rFonts w:hint="default"/>
        </w:rPr>
      </w:pPr>
      <w:r>
        <w:rPr>
          <w:b/>
          <w:sz w:val="24"/>
        </w:rPr>
        <w:t>2.项目内容及需求情况（采购项目技术规格、参数及要求）</w:t>
      </w:r>
    </w:p>
    <w:tbl>
      <w:tblPr>
        <w:tblStyle w:val="13"/>
        <w:tblW w:w="774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61"/>
        <w:gridCol w:w="1469"/>
        <w:gridCol w:w="1141"/>
        <w:gridCol w:w="1098"/>
        <w:gridCol w:w="993"/>
        <w:gridCol w:w="1082"/>
      </w:tblGrid>
      <w:tr w14:paraId="1DFD44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61" w:type="dxa"/>
            <w:vAlign w:val="center"/>
          </w:tcPr>
          <w:p w14:paraId="00D9DCC4">
            <w:pPr>
              <w:pStyle w:val="19"/>
              <w:jc w:val="center"/>
              <w:rPr>
                <w:rFonts w:hint="default"/>
              </w:rPr>
            </w:pPr>
            <w:r>
              <w:t>采购标的</w:t>
            </w:r>
          </w:p>
        </w:tc>
        <w:tc>
          <w:tcPr>
            <w:tcW w:w="1469" w:type="dxa"/>
            <w:vAlign w:val="center"/>
          </w:tcPr>
          <w:p w14:paraId="40F70B0B">
            <w:pPr>
              <w:pStyle w:val="19"/>
              <w:jc w:val="center"/>
              <w:rPr>
                <w:rFonts w:hint="default"/>
              </w:rPr>
            </w:pPr>
            <w:r>
              <w:t>数量</w:t>
            </w:r>
          </w:p>
        </w:tc>
        <w:tc>
          <w:tcPr>
            <w:tcW w:w="1141" w:type="dxa"/>
            <w:vAlign w:val="center"/>
          </w:tcPr>
          <w:p w14:paraId="606F758B">
            <w:pPr>
              <w:pStyle w:val="19"/>
              <w:jc w:val="center"/>
              <w:rPr>
                <w:rFonts w:hint="default"/>
              </w:rPr>
            </w:pPr>
            <w:r>
              <w:t>技术规格、参数及要求</w:t>
            </w:r>
          </w:p>
        </w:tc>
        <w:tc>
          <w:tcPr>
            <w:tcW w:w="1098" w:type="dxa"/>
            <w:vAlign w:val="center"/>
          </w:tcPr>
          <w:p w14:paraId="2EFD44EA">
            <w:pPr>
              <w:pStyle w:val="19"/>
              <w:jc w:val="center"/>
              <w:rPr>
                <w:rFonts w:hint="default"/>
              </w:rPr>
            </w:pPr>
            <w:r>
              <w:t>品目预算(元)</w:t>
            </w:r>
          </w:p>
        </w:tc>
        <w:tc>
          <w:tcPr>
            <w:tcW w:w="993" w:type="dxa"/>
            <w:vAlign w:val="center"/>
          </w:tcPr>
          <w:p w14:paraId="54BA5FB7">
            <w:pPr>
              <w:pStyle w:val="19"/>
              <w:jc w:val="center"/>
              <w:rPr>
                <w:rFonts w:hint="default" w:eastAsiaTheme="minorEastAsia"/>
                <w:lang w:val="en-US" w:eastAsia="zh-CN"/>
              </w:rPr>
            </w:pPr>
            <w:r>
              <w:rPr>
                <w:rFonts w:hint="eastAsia"/>
                <w:lang w:val="en-US" w:eastAsia="zh-CN"/>
              </w:rPr>
              <w:t>最高限价（元）</w:t>
            </w:r>
          </w:p>
        </w:tc>
        <w:tc>
          <w:tcPr>
            <w:tcW w:w="1082" w:type="dxa"/>
            <w:vAlign w:val="center"/>
          </w:tcPr>
          <w:p w14:paraId="4549A2AB">
            <w:pPr>
              <w:pStyle w:val="19"/>
              <w:jc w:val="center"/>
              <w:rPr>
                <w:rFonts w:hint="default"/>
              </w:rPr>
            </w:pPr>
            <w:r>
              <w:t>是否允许进口产品</w:t>
            </w:r>
          </w:p>
        </w:tc>
      </w:tr>
      <w:tr w14:paraId="5D4EB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961" w:type="dxa"/>
            <w:vAlign w:val="center"/>
          </w:tcPr>
          <w:p w14:paraId="2A948EB6">
            <w:pPr>
              <w:pStyle w:val="19"/>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WB电泳转膜设备(含电源)</w:t>
            </w:r>
          </w:p>
        </w:tc>
        <w:tc>
          <w:tcPr>
            <w:tcW w:w="1469" w:type="dxa"/>
            <w:vAlign w:val="center"/>
          </w:tcPr>
          <w:p w14:paraId="537A12A0">
            <w:pPr>
              <w:pStyle w:val="19"/>
              <w:jc w:val="center"/>
              <w:rPr>
                <w:rFonts w:hint="default"/>
                <w:lang w:val="en-US" w:eastAsia="zh-CN"/>
              </w:rPr>
            </w:pPr>
            <w:r>
              <w:rPr>
                <w:rFonts w:hint="eastAsia"/>
                <w:lang w:val="en-US" w:eastAsia="zh-CN"/>
              </w:rPr>
              <w:t>5套</w:t>
            </w:r>
          </w:p>
        </w:tc>
        <w:tc>
          <w:tcPr>
            <w:tcW w:w="1141" w:type="dxa"/>
            <w:vAlign w:val="center"/>
          </w:tcPr>
          <w:p w14:paraId="780ADBDA">
            <w:pPr>
              <w:pStyle w:val="19"/>
              <w:jc w:val="center"/>
              <w:rPr>
                <w:rFonts w:hint="default" w:eastAsiaTheme="minorEastAsia"/>
                <w:lang w:val="en-US" w:eastAsia="zh-CN"/>
              </w:rPr>
            </w:pPr>
            <w:r>
              <w:rPr>
                <w:rFonts w:hint="eastAsia"/>
                <w:lang w:val="en-US" w:eastAsia="zh-CN"/>
              </w:rPr>
              <w:t>见采购需求</w:t>
            </w:r>
          </w:p>
        </w:tc>
        <w:tc>
          <w:tcPr>
            <w:tcW w:w="1098" w:type="dxa"/>
            <w:vAlign w:val="center"/>
          </w:tcPr>
          <w:p w14:paraId="0B4C3D0C">
            <w:pPr>
              <w:pStyle w:val="19"/>
              <w:jc w:val="center"/>
              <w:rPr>
                <w:rFonts w:hint="default"/>
                <w:lang w:val="en-US" w:eastAsia="zh-CN"/>
              </w:rPr>
            </w:pPr>
            <w:r>
              <w:rPr>
                <w:rFonts w:hint="eastAsia"/>
                <w:lang w:val="en-US" w:eastAsia="zh-CN"/>
              </w:rPr>
              <w:t>75000</w:t>
            </w:r>
          </w:p>
        </w:tc>
        <w:tc>
          <w:tcPr>
            <w:tcW w:w="993" w:type="dxa"/>
            <w:vAlign w:val="center"/>
          </w:tcPr>
          <w:p w14:paraId="1EA4DC64">
            <w:pPr>
              <w:pStyle w:val="19"/>
              <w:jc w:val="center"/>
              <w:rPr>
                <w:rFonts w:hint="default"/>
                <w:lang w:val="en-US" w:eastAsia="zh-CN"/>
              </w:rPr>
            </w:pPr>
            <w:r>
              <w:rPr>
                <w:rFonts w:hint="eastAsia"/>
                <w:lang w:val="en-US" w:eastAsia="zh-CN"/>
              </w:rPr>
              <w:t>75000</w:t>
            </w:r>
          </w:p>
        </w:tc>
        <w:tc>
          <w:tcPr>
            <w:tcW w:w="1082" w:type="dxa"/>
            <w:vAlign w:val="center"/>
          </w:tcPr>
          <w:p w14:paraId="671D5B7B">
            <w:pPr>
              <w:pStyle w:val="19"/>
              <w:jc w:val="center"/>
              <w:rPr>
                <w:rFonts w:hint="default"/>
                <w:lang w:val="en-US" w:eastAsia="zh-CN"/>
              </w:rPr>
            </w:pPr>
            <w:r>
              <w:rPr>
                <w:rFonts w:hint="eastAsia"/>
                <w:lang w:val="en-US" w:eastAsia="zh-CN"/>
              </w:rPr>
              <w:t>是</w:t>
            </w:r>
          </w:p>
        </w:tc>
      </w:tr>
    </w:tbl>
    <w:p w14:paraId="48625142">
      <w:pPr>
        <w:pStyle w:val="19"/>
        <w:spacing w:line="360" w:lineRule="auto"/>
        <w:rPr>
          <w:rFonts w:hint="default"/>
        </w:rPr>
      </w:pPr>
      <w:r>
        <w:rPr>
          <w:b/>
          <w:sz w:val="28"/>
        </w:rPr>
        <w:t>二.申请人的资格要求</w:t>
      </w:r>
    </w:p>
    <w:p w14:paraId="7ED41F6C">
      <w:pPr>
        <w:pStyle w:val="19"/>
        <w:spacing w:line="360" w:lineRule="auto"/>
        <w:rPr>
          <w:rFonts w:hint="default"/>
        </w:rPr>
      </w:pPr>
      <w:r>
        <w:rPr>
          <w:b/>
          <w:sz w:val="24"/>
        </w:rPr>
        <w:t>1.满足《中华人民共和国政府采购法》第二十二条规定，提供下列材料：</w:t>
      </w:r>
    </w:p>
    <w:p w14:paraId="2AC67942">
      <w:pPr>
        <w:pStyle w:val="19"/>
        <w:spacing w:line="360" w:lineRule="auto"/>
        <w:ind w:firstLine="480"/>
        <w:rPr>
          <w:rFonts w:hint="default"/>
        </w:rPr>
      </w:pPr>
      <w: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14:paraId="048A076D">
      <w:pPr>
        <w:pStyle w:val="19"/>
        <w:spacing w:line="360" w:lineRule="auto"/>
        <w:ind w:firstLine="480"/>
        <w:rPr>
          <w:rFonts w:hint="default"/>
        </w:rPr>
      </w:pPr>
      <w:r>
        <w:rPr>
          <w:rFonts w:hint="eastAsia"/>
          <w:lang w:val="en-US" w:eastAsia="zh-CN"/>
        </w:rPr>
        <w:t>2</w:t>
      </w:r>
      <w:r>
        <w:rPr>
          <w:lang w:eastAsia="zh-CN"/>
        </w:rPr>
        <w:t>）</w:t>
      </w:r>
      <w:r>
        <w:t>单位负责人为同一人或者存在直接控股、 管理关系的不同供应商，不得同时参加本采购项目（或采购包）投标（响应）。为本项目提供整体设计、规范编制或者项目管理、监理、检测等服务的供应商，不得再参与本项目投标（响应）。响应承诺函相关承诺要求内容。</w:t>
      </w:r>
    </w:p>
    <w:p w14:paraId="747F5CD0">
      <w:pPr>
        <w:pStyle w:val="19"/>
        <w:spacing w:line="360" w:lineRule="auto"/>
        <w:ind w:firstLine="480"/>
        <w:rPr>
          <w:rFonts w:ascii="宋体" w:hAnsi="宋体" w:eastAsia="宋体" w:cs="宋体"/>
          <w:sz w:val="21"/>
          <w:szCs w:val="21"/>
        </w:rPr>
      </w:pPr>
      <w:r>
        <w:rPr>
          <w:rFonts w:hint="eastAsia"/>
          <w:lang w:val="en-US" w:eastAsia="zh-CN"/>
        </w:rPr>
        <w:t>3</w:t>
      </w:r>
      <w:r>
        <w:rPr>
          <w:lang w:eastAsia="zh-CN"/>
        </w:rPr>
        <w:t>）</w:t>
      </w:r>
      <w:r>
        <w:rPr>
          <w:rFonts w:ascii="宋体" w:hAnsi="宋体" w:eastAsia="宋体" w:cs="宋体"/>
          <w:sz w:val="21"/>
          <w:szCs w:val="21"/>
        </w:rPr>
        <w:t>本项目不允许联合体投标。</w:t>
      </w:r>
    </w:p>
    <w:p w14:paraId="59F63F31">
      <w:pPr>
        <w:pStyle w:val="19"/>
        <w:spacing w:line="360" w:lineRule="auto"/>
        <w:ind w:firstLine="48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被列入我院黑名单的不允许参与。</w:t>
      </w:r>
    </w:p>
    <w:p w14:paraId="572EAB4E">
      <w:pPr>
        <w:pStyle w:val="19"/>
        <w:spacing w:line="360" w:lineRule="auto"/>
        <w:rPr>
          <w:rFonts w:hint="default"/>
        </w:rPr>
      </w:pPr>
      <w:r>
        <w:rPr>
          <w:rFonts w:hint="eastAsia"/>
          <w:b/>
          <w:sz w:val="28"/>
          <w:lang w:val="en-US" w:eastAsia="zh-CN"/>
        </w:rPr>
        <w:t>三</w:t>
      </w:r>
      <w:r>
        <w:rPr>
          <w:b/>
          <w:sz w:val="28"/>
        </w:rPr>
        <w:t>.提交响应文件截止时间、开启时间和地点：</w:t>
      </w:r>
    </w:p>
    <w:p w14:paraId="346EA9B3">
      <w:pPr>
        <w:pStyle w:val="19"/>
        <w:spacing w:line="360" w:lineRule="auto"/>
        <w:ind w:firstLine="480"/>
        <w:rPr>
          <w:rFonts w:hint="default"/>
        </w:rPr>
      </w:pPr>
      <w:r>
        <w:t>提交响应文件截止时间和开启时间：详见询价公告及其变更公告（如有）（自响应文件开始发出之日起至响应供应商提交响应文件截止之日起，不得少于3日）</w:t>
      </w:r>
    </w:p>
    <w:p w14:paraId="1471141E">
      <w:pPr>
        <w:pStyle w:val="19"/>
        <w:spacing w:line="360" w:lineRule="auto"/>
        <w:ind w:firstLine="480"/>
        <w:rPr>
          <w:rFonts w:hint="default"/>
        </w:rPr>
      </w:pPr>
      <w:r>
        <w:t>地点：详见询价公告及其变更公告（如有）</w:t>
      </w:r>
    </w:p>
    <w:p w14:paraId="511D7F71">
      <w:pPr>
        <w:pStyle w:val="19"/>
        <w:spacing w:line="360" w:lineRule="auto"/>
        <w:rPr>
          <w:rFonts w:hint="default"/>
        </w:rPr>
      </w:pPr>
      <w:r>
        <w:rPr>
          <w:rFonts w:hint="eastAsia"/>
          <w:b/>
          <w:sz w:val="28"/>
          <w:lang w:val="en-US" w:eastAsia="zh-CN"/>
        </w:rPr>
        <w:t>四</w:t>
      </w:r>
      <w:r>
        <w:rPr>
          <w:b/>
          <w:sz w:val="28"/>
        </w:rPr>
        <w:t>.公告期限、发布公告的媒介：</w:t>
      </w:r>
    </w:p>
    <w:p w14:paraId="73AEE2E5">
      <w:pPr>
        <w:pStyle w:val="19"/>
        <w:spacing w:line="360" w:lineRule="auto"/>
        <w:ind w:firstLine="480"/>
        <w:rPr>
          <w:rFonts w:hint="default"/>
        </w:rPr>
      </w:pPr>
      <w:r>
        <w:t>1、公告期限：（自本公告发布之日起不得少于</w:t>
      </w:r>
      <w:r>
        <w:rPr>
          <w:rFonts w:hint="eastAsia"/>
          <w:lang w:val="en-US" w:eastAsia="zh-CN"/>
        </w:rPr>
        <w:t>5</w:t>
      </w:r>
      <w:r>
        <w:t>个工作日。）</w:t>
      </w:r>
    </w:p>
    <w:p w14:paraId="106D742A">
      <w:pPr>
        <w:pStyle w:val="19"/>
        <w:spacing w:line="360" w:lineRule="auto"/>
        <w:rPr>
          <w:rFonts w:hint="default"/>
        </w:rPr>
      </w:pPr>
      <w:r>
        <w:rPr>
          <w:rFonts w:hint="eastAsia"/>
          <w:b/>
          <w:sz w:val="28"/>
          <w:lang w:val="en-US" w:eastAsia="zh-CN"/>
        </w:rPr>
        <w:t>五</w:t>
      </w:r>
      <w:r>
        <w:rPr>
          <w:b/>
          <w:sz w:val="28"/>
        </w:rPr>
        <w:t>.本项目联系方式：</w:t>
      </w:r>
    </w:p>
    <w:p w14:paraId="53CF3855">
      <w:pPr>
        <w:pStyle w:val="19"/>
        <w:spacing w:line="360" w:lineRule="auto"/>
        <w:rPr>
          <w:rFonts w:hint="default"/>
        </w:rPr>
      </w:pPr>
      <w:r>
        <w:rPr>
          <w:b/>
          <w:sz w:val="24"/>
        </w:rPr>
        <w:t>1.联系方式</w:t>
      </w:r>
    </w:p>
    <w:p w14:paraId="476CDAEF">
      <w:pPr>
        <w:pStyle w:val="19"/>
        <w:spacing w:line="360" w:lineRule="auto"/>
        <w:ind w:firstLine="480"/>
        <w:rPr>
          <w:rFonts w:hint="eastAsia"/>
          <w:lang w:val="en-US" w:eastAsia="zh-CN"/>
        </w:rPr>
      </w:pPr>
      <w:r>
        <w:t>项目联系人：</w:t>
      </w:r>
      <w:r>
        <w:rPr>
          <w:rFonts w:hint="eastAsia"/>
          <w:lang w:val="en-US" w:eastAsia="zh-CN"/>
        </w:rPr>
        <w:t>喻老师</w:t>
      </w:r>
    </w:p>
    <w:p w14:paraId="55C7EC37">
      <w:pPr>
        <w:pStyle w:val="19"/>
        <w:spacing w:line="360" w:lineRule="auto"/>
        <w:ind w:firstLine="480"/>
        <w:rPr>
          <w:rFonts w:hint="default"/>
        </w:rPr>
      </w:pPr>
      <w:r>
        <w:t>电话：020-36250234</w:t>
      </w:r>
    </w:p>
    <w:p w14:paraId="71BDE833">
      <w:pPr>
        <w:pStyle w:val="19"/>
        <w:spacing w:line="360" w:lineRule="auto"/>
        <w:rPr>
          <w:rFonts w:hint="default" w:eastAsiaTheme="minorEastAsia"/>
          <w:lang w:val="en-US" w:eastAsia="zh-CN"/>
        </w:rPr>
      </w:pPr>
      <w:r>
        <w:rPr>
          <w:rFonts w:hint="eastAsia"/>
          <w:b/>
          <w:sz w:val="24"/>
          <w:lang w:val="en-US" w:eastAsia="zh-CN"/>
        </w:rPr>
        <w:t>2</w:t>
      </w:r>
      <w:r>
        <w:rPr>
          <w:b/>
          <w:sz w:val="24"/>
        </w:rPr>
        <w:t>.</w:t>
      </w:r>
      <w:r>
        <w:rPr>
          <w:rFonts w:hint="eastAsia"/>
          <w:b/>
          <w:sz w:val="24"/>
          <w:lang w:val="en-US" w:eastAsia="zh-CN"/>
        </w:rPr>
        <w:t>报名地址</w:t>
      </w:r>
    </w:p>
    <w:p w14:paraId="5739634A">
      <w:pPr>
        <w:pStyle w:val="19"/>
        <w:spacing w:line="360" w:lineRule="auto"/>
        <w:ind w:firstLine="480"/>
        <w:rPr>
          <w:rFonts w:hint="default"/>
        </w:rPr>
      </w:pPr>
      <w:r>
        <w:t xml:space="preserve">广东省广州市黄埔区港湾西四街90号A栋501  </w:t>
      </w:r>
      <w:r>
        <w:rPr>
          <w:rFonts w:hint="default"/>
        </w:rPr>
        <w:br w:type="page"/>
      </w:r>
    </w:p>
    <w:p w14:paraId="4FA2FD60">
      <w:pPr>
        <w:pStyle w:val="19"/>
        <w:spacing w:line="360" w:lineRule="auto"/>
        <w:jc w:val="center"/>
        <w:outlineLvl w:val="0"/>
        <w:rPr>
          <w:rFonts w:hint="default"/>
          <w:b/>
          <w:sz w:val="36"/>
        </w:rPr>
      </w:pPr>
      <w:bookmarkStart w:id="1" w:name="_Toc181637020"/>
      <w:r>
        <w:rPr>
          <w:b/>
          <w:sz w:val="36"/>
        </w:rPr>
        <w:t>第二章 采购需求</w:t>
      </w:r>
      <w:bookmarkEnd w:id="1"/>
    </w:p>
    <w:p w14:paraId="3ADF3081">
      <w:pPr>
        <w:pStyle w:val="19"/>
        <w:spacing w:line="360" w:lineRule="auto"/>
        <w:rPr>
          <w:rFonts w:hint="default"/>
        </w:rPr>
      </w:pPr>
      <w:r>
        <w:rPr>
          <w:b/>
          <w:sz w:val="28"/>
        </w:rPr>
        <w:t>一、项目概况：</w:t>
      </w:r>
    </w:p>
    <w:p w14:paraId="1F549C88">
      <w:pPr>
        <w:widowControl/>
        <w:shd w:val="clear" w:color="auto" w:fill="FFFFFF"/>
        <w:ind w:firstLine="422"/>
        <w:rPr>
          <w:rFonts w:ascii="宋体" w:hAnsi="宋体"/>
          <w:kern w:val="0"/>
          <w:szCs w:val="21"/>
        </w:rPr>
      </w:pPr>
      <w:r>
        <w:rPr>
          <w:rFonts w:hint="eastAsia" w:ascii="宋体" w:hAnsi="宋体"/>
          <w:b/>
          <w:kern w:val="0"/>
          <w:szCs w:val="21"/>
        </w:rPr>
        <w:t>（一）项目说明及总体要求：</w:t>
      </w:r>
    </w:p>
    <w:p w14:paraId="0C05D4D1">
      <w:pPr>
        <w:pStyle w:val="19"/>
        <w:spacing w:line="360" w:lineRule="auto"/>
        <w:ind w:firstLine="400" w:firstLineChars="200"/>
        <w:rPr>
          <w:rFonts w:hint="default"/>
        </w:rPr>
      </w:pPr>
      <w:r>
        <w:t>1.投标供应商须对本项目的服务进行整体响应，任何只对其中一部分内容进行的响应都被视为无效报价。投标最终报价的每项单价及总报价不能超过最高限制，否则做投标无效处理。</w:t>
      </w:r>
    </w:p>
    <w:p w14:paraId="56C20D5F">
      <w:pPr>
        <w:pStyle w:val="19"/>
        <w:spacing w:line="360" w:lineRule="auto"/>
        <w:ind w:firstLine="400" w:firstLineChars="200"/>
        <w:rPr>
          <w:rFonts w:hint="default"/>
        </w:rPr>
      </w:pPr>
      <w:r>
        <w:t>2.带★号条款为不可偏离参数，</w:t>
      </w:r>
      <w:r>
        <w:rPr>
          <w:lang w:eastAsia="zh-CN"/>
        </w:rPr>
        <w:t>响应</w:t>
      </w:r>
      <w:r>
        <w:t>文件未完全满足</w:t>
      </w:r>
      <w:r>
        <w:rPr>
          <w:lang w:eastAsia="zh-CN"/>
        </w:rPr>
        <w:t>询价</w:t>
      </w:r>
      <w:r>
        <w:t>文件中带“★”号的条款和指标的，将导致投标无效。</w:t>
      </w:r>
    </w:p>
    <w:p w14:paraId="6D87DF3C">
      <w:pPr>
        <w:pStyle w:val="19"/>
        <w:spacing w:line="360" w:lineRule="auto"/>
        <w:ind w:firstLine="400" w:firstLineChars="200"/>
        <w:rPr>
          <w:rFonts w:hint="default"/>
        </w:rPr>
      </w:pPr>
      <w:r>
        <w:t>3.</w:t>
      </w:r>
      <w:r>
        <w:rPr>
          <w:lang w:eastAsia="zh-CN"/>
        </w:rPr>
        <w:t>询价</w:t>
      </w:r>
      <w:r>
        <w:t>小组认为投标供应商的报价明显低于其他通过符合性审查投标供应商的报价，有可能影响产品质量或者不能诚信履约的，应当要求其在评标现场合理的时间内提供书面说明，必要时提交相关证明材料；投标供应商不能证明其报价合理性的，</w:t>
      </w:r>
      <w:r>
        <w:rPr>
          <w:lang w:eastAsia="zh-CN"/>
        </w:rPr>
        <w:t>询价</w:t>
      </w:r>
      <w:r>
        <w:t>小组应当将其作为无效投标处理。</w:t>
      </w:r>
    </w:p>
    <w:p w14:paraId="108BE5F4">
      <w:pPr>
        <w:pStyle w:val="19"/>
        <w:spacing w:line="360" w:lineRule="auto"/>
        <w:ind w:firstLine="400" w:firstLineChars="200"/>
        <w:rPr>
          <w:rFonts w:hint="default"/>
        </w:rPr>
      </w:pPr>
      <w:r>
        <w:t>4.</w:t>
      </w:r>
      <w:r>
        <w:rPr>
          <w:lang w:eastAsia="zh-CN"/>
        </w:rPr>
        <w:t>响应</w:t>
      </w:r>
      <w:r>
        <w:t>文件的响应内容均真实有效，且按招标内容进行响应，不存在虚假响应内容的情况，否则将被视为无法实质性响应</w:t>
      </w:r>
      <w:r>
        <w:rPr>
          <w:lang w:eastAsia="zh-CN"/>
        </w:rPr>
        <w:t>询价</w:t>
      </w:r>
      <w:r>
        <w:t>文件而作废标处理。对招标需求中的所有条款，投标供应商如在投标时承诺满足，但</w:t>
      </w:r>
      <w:r>
        <w:rPr>
          <w:lang w:eastAsia="zh-CN"/>
        </w:rPr>
        <w:t>成交</w:t>
      </w:r>
      <w:r>
        <w:t>后发现有虚假响应，即事实上不能满足的，采购人将取消投标供应商的</w:t>
      </w:r>
      <w:r>
        <w:rPr>
          <w:lang w:eastAsia="zh-CN"/>
        </w:rPr>
        <w:t>成交</w:t>
      </w:r>
      <w:r>
        <w:t>资格。</w:t>
      </w:r>
    </w:p>
    <w:p w14:paraId="22C51764">
      <w:pPr>
        <w:pStyle w:val="19"/>
        <w:spacing w:line="360" w:lineRule="auto"/>
        <w:ind w:firstLine="400" w:firstLineChars="200"/>
        <w:rPr>
          <w:rFonts w:hint="default"/>
        </w:rPr>
      </w:pPr>
    </w:p>
    <w:p w14:paraId="51725363">
      <w:pPr>
        <w:pStyle w:val="19"/>
        <w:spacing w:line="360" w:lineRule="auto"/>
      </w:pPr>
      <w:r>
        <w:t>采购包1</w:t>
      </w:r>
    </w:p>
    <w:p w14:paraId="662B570C">
      <w:pPr>
        <w:pStyle w:val="19"/>
        <w:spacing w:line="360" w:lineRule="auto"/>
        <w:rPr>
          <w:rFonts w:hint="default"/>
        </w:rPr>
      </w:pPr>
      <w:r>
        <w:rPr>
          <w:rFonts w:hint="eastAsia"/>
          <w:b/>
          <w:lang w:val="en-US" w:eastAsia="zh-CN"/>
        </w:rPr>
        <w:t>1</w:t>
      </w:r>
      <w:r>
        <w:rPr>
          <w:b/>
        </w:rPr>
        <w:t>.技术标准与要求</w:t>
      </w:r>
    </w:p>
    <w:tbl>
      <w:tblPr>
        <w:tblStyle w:val="13"/>
        <w:tblW w:w="893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84"/>
        <w:gridCol w:w="1910"/>
        <w:gridCol w:w="1115"/>
        <w:gridCol w:w="1875"/>
        <w:gridCol w:w="1950"/>
        <w:gridCol w:w="1500"/>
      </w:tblGrid>
      <w:tr w14:paraId="35D82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5" w:hRule="atLeast"/>
        </w:trPr>
        <w:tc>
          <w:tcPr>
            <w:tcW w:w="584" w:type="dxa"/>
            <w:vAlign w:val="center"/>
          </w:tcPr>
          <w:p w14:paraId="27B7576B">
            <w:pPr>
              <w:pStyle w:val="19"/>
              <w:jc w:val="center"/>
              <w:rPr>
                <w:rFonts w:hint="default"/>
              </w:rPr>
            </w:pPr>
            <w:r>
              <w:t>序号</w:t>
            </w:r>
          </w:p>
        </w:tc>
        <w:tc>
          <w:tcPr>
            <w:tcW w:w="1910" w:type="dxa"/>
            <w:vAlign w:val="center"/>
          </w:tcPr>
          <w:p w14:paraId="2C729991">
            <w:pPr>
              <w:pStyle w:val="19"/>
              <w:jc w:val="center"/>
              <w:rPr>
                <w:rFonts w:hint="default"/>
              </w:rPr>
            </w:pPr>
            <w:r>
              <w:t>标的名称</w:t>
            </w:r>
          </w:p>
        </w:tc>
        <w:tc>
          <w:tcPr>
            <w:tcW w:w="1115" w:type="dxa"/>
            <w:vAlign w:val="center"/>
          </w:tcPr>
          <w:p w14:paraId="2A202264">
            <w:pPr>
              <w:pStyle w:val="19"/>
              <w:jc w:val="center"/>
              <w:rPr>
                <w:rFonts w:hint="default" w:eastAsiaTheme="minorEastAsia"/>
                <w:lang w:val="en-US" w:eastAsia="zh-CN"/>
              </w:rPr>
            </w:pPr>
            <w:r>
              <w:rPr>
                <w:rFonts w:hint="eastAsia"/>
                <w:lang w:val="en-US" w:eastAsia="zh-CN"/>
              </w:rPr>
              <w:t>数量</w:t>
            </w:r>
          </w:p>
        </w:tc>
        <w:tc>
          <w:tcPr>
            <w:tcW w:w="1875" w:type="dxa"/>
            <w:shd w:val="clear" w:color="auto" w:fill="auto"/>
            <w:vAlign w:val="center"/>
          </w:tcPr>
          <w:p w14:paraId="119DC75A">
            <w:pPr>
              <w:pStyle w:val="19"/>
              <w:jc w:val="center"/>
              <w:rPr>
                <w:rFonts w:hint="default" w:asciiTheme="minorHAnsi" w:hAnsiTheme="minorHAnsi" w:eastAsiaTheme="minorEastAsia" w:cstheme="minorBidi"/>
                <w:lang w:val="en-US" w:eastAsia="zh-CN" w:bidi="ar-SA"/>
              </w:rPr>
            </w:pPr>
            <w:r>
              <w:t>品目预算(元)</w:t>
            </w:r>
          </w:p>
        </w:tc>
        <w:tc>
          <w:tcPr>
            <w:tcW w:w="1950" w:type="dxa"/>
            <w:shd w:val="clear" w:color="auto" w:fill="auto"/>
            <w:vAlign w:val="center"/>
          </w:tcPr>
          <w:p w14:paraId="1696AEAC">
            <w:pPr>
              <w:pStyle w:val="19"/>
              <w:jc w:val="center"/>
              <w:rPr>
                <w:rFonts w:hint="default" w:asciiTheme="minorHAnsi" w:hAnsiTheme="minorHAnsi" w:eastAsiaTheme="minorEastAsia" w:cstheme="minorBidi"/>
                <w:lang w:val="en-US" w:eastAsia="zh-CN" w:bidi="ar-SA"/>
              </w:rPr>
            </w:pPr>
            <w:r>
              <w:rPr>
                <w:rFonts w:hint="eastAsia"/>
                <w:lang w:val="en-US" w:eastAsia="zh-CN"/>
              </w:rPr>
              <w:t>最高限价（元）</w:t>
            </w:r>
          </w:p>
        </w:tc>
        <w:tc>
          <w:tcPr>
            <w:tcW w:w="1500" w:type="dxa"/>
            <w:shd w:val="clear" w:color="auto" w:fill="auto"/>
            <w:vAlign w:val="center"/>
          </w:tcPr>
          <w:p w14:paraId="4A50BC54">
            <w:pPr>
              <w:pStyle w:val="19"/>
              <w:jc w:val="center"/>
              <w:rPr>
                <w:rFonts w:hint="default"/>
                <w:lang w:val="en-US" w:eastAsia="zh-CN"/>
              </w:rPr>
            </w:pPr>
            <w:r>
              <w:rPr>
                <w:rFonts w:hint="eastAsia"/>
                <w:lang w:val="en-US" w:eastAsia="zh-CN"/>
              </w:rPr>
              <w:t>备注</w:t>
            </w:r>
          </w:p>
        </w:tc>
      </w:tr>
      <w:tr w14:paraId="0B6D02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659" w:hRule="atLeast"/>
        </w:trPr>
        <w:tc>
          <w:tcPr>
            <w:tcW w:w="584" w:type="dxa"/>
            <w:vAlign w:val="center"/>
          </w:tcPr>
          <w:p w14:paraId="4535FACA">
            <w:pPr>
              <w:pStyle w:val="19"/>
              <w:jc w:val="center"/>
              <w:rPr>
                <w:rFonts w:hint="default"/>
              </w:rPr>
            </w:pPr>
            <w:r>
              <w:rPr>
                <w:rFonts w:asciiTheme="majorEastAsia" w:hAnsiTheme="majorEastAsia" w:eastAsiaTheme="majorEastAsia"/>
                <w:sz w:val="24"/>
              </w:rPr>
              <w:t>1</w:t>
            </w:r>
          </w:p>
        </w:tc>
        <w:tc>
          <w:tcPr>
            <w:tcW w:w="1910" w:type="dxa"/>
            <w:vAlign w:val="center"/>
          </w:tcPr>
          <w:p w14:paraId="16DFAE4C">
            <w:pPr>
              <w:pStyle w:val="19"/>
              <w:jc w:val="center"/>
              <w:rPr>
                <w:rFonts w:hint="default"/>
                <w:lang w:val="en-US"/>
              </w:rPr>
            </w:pPr>
            <w:r>
              <w:rPr>
                <w:rFonts w:hint="eastAsia"/>
                <w:lang w:val="en-US" w:eastAsia="zh-CN"/>
              </w:rPr>
              <w:t>WB电泳转膜设备(含电源)</w:t>
            </w:r>
          </w:p>
        </w:tc>
        <w:tc>
          <w:tcPr>
            <w:tcW w:w="1115" w:type="dxa"/>
            <w:vAlign w:val="center"/>
          </w:tcPr>
          <w:p w14:paraId="658C9491">
            <w:pPr>
              <w:pStyle w:val="19"/>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5套</w:t>
            </w:r>
          </w:p>
        </w:tc>
        <w:tc>
          <w:tcPr>
            <w:tcW w:w="1875" w:type="dxa"/>
            <w:shd w:val="clear" w:color="auto" w:fill="auto"/>
            <w:vAlign w:val="center"/>
          </w:tcPr>
          <w:p w14:paraId="641AB5D1">
            <w:pPr>
              <w:pStyle w:val="19"/>
              <w:jc w:val="center"/>
              <w:rPr>
                <w:rFonts w:hint="default" w:asciiTheme="minorHAnsi" w:hAnsiTheme="minorHAnsi" w:eastAsiaTheme="minorEastAsia" w:cstheme="minorBidi"/>
                <w:lang w:val="en-US" w:eastAsia="zh-CN" w:bidi="ar-SA"/>
              </w:rPr>
            </w:pPr>
            <w:r>
              <w:rPr>
                <w:rFonts w:hint="eastAsia"/>
                <w:lang w:val="en-US" w:eastAsia="zh-CN"/>
              </w:rPr>
              <w:t>75000</w:t>
            </w:r>
          </w:p>
        </w:tc>
        <w:tc>
          <w:tcPr>
            <w:tcW w:w="1950" w:type="dxa"/>
            <w:shd w:val="clear" w:color="auto" w:fill="auto"/>
            <w:vAlign w:val="center"/>
          </w:tcPr>
          <w:p w14:paraId="788B3A8A">
            <w:pPr>
              <w:pStyle w:val="19"/>
              <w:jc w:val="center"/>
              <w:rPr>
                <w:rFonts w:hint="default" w:asciiTheme="minorHAnsi" w:hAnsiTheme="minorHAnsi" w:eastAsiaTheme="minorEastAsia" w:cstheme="minorBidi"/>
                <w:lang w:val="en-US" w:eastAsia="zh-CN" w:bidi="ar-SA"/>
              </w:rPr>
            </w:pPr>
            <w:r>
              <w:rPr>
                <w:rFonts w:hint="eastAsia"/>
                <w:lang w:val="en-US" w:eastAsia="zh-CN"/>
              </w:rPr>
              <w:t>75000</w:t>
            </w:r>
          </w:p>
        </w:tc>
        <w:tc>
          <w:tcPr>
            <w:tcW w:w="1500" w:type="dxa"/>
            <w:shd w:val="clear" w:color="auto" w:fill="auto"/>
            <w:vAlign w:val="center"/>
          </w:tcPr>
          <w:p w14:paraId="288DCE81">
            <w:pPr>
              <w:pStyle w:val="19"/>
              <w:jc w:val="center"/>
              <w:rPr>
                <w:rFonts w:hint="default"/>
                <w:lang w:val="en-US" w:eastAsia="zh-CN"/>
              </w:rPr>
            </w:pPr>
            <w:r>
              <w:rPr>
                <w:rFonts w:hint="eastAsia"/>
                <w:lang w:val="en-US" w:eastAsia="zh-CN"/>
              </w:rPr>
              <w:t>报价不得超过最高限价，否则报名无效</w:t>
            </w:r>
          </w:p>
        </w:tc>
      </w:tr>
    </w:tbl>
    <w:p w14:paraId="74EE89AF">
      <w:pPr>
        <w:pStyle w:val="19"/>
        <w:spacing w:line="360" w:lineRule="auto"/>
        <w:rPr>
          <w:rFonts w:hint="eastAsia" w:eastAsiaTheme="minorEastAsia"/>
          <w:lang w:val="en-US" w:eastAsia="zh-CN"/>
        </w:rPr>
      </w:pPr>
      <w:r>
        <w:rPr>
          <w:b/>
        </w:rPr>
        <w:t>附表一：</w:t>
      </w:r>
      <w:r>
        <w:rPr>
          <w:rFonts w:hint="eastAsia"/>
          <w:b/>
          <w:lang w:val="en-US" w:eastAsia="zh-CN"/>
        </w:rPr>
        <w:t xml:space="preserve"> </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75"/>
        <w:gridCol w:w="709"/>
        <w:gridCol w:w="6922"/>
      </w:tblGrid>
      <w:tr w14:paraId="687EC9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vAlign w:val="center"/>
          </w:tcPr>
          <w:p w14:paraId="7E24FC00">
            <w:pPr>
              <w:pStyle w:val="19"/>
              <w:spacing w:line="276" w:lineRule="auto"/>
              <w:jc w:val="center"/>
              <w:rPr>
                <w:rFonts w:hint="default"/>
              </w:rPr>
            </w:pPr>
            <w:r>
              <w:t>参数性质</w:t>
            </w:r>
          </w:p>
        </w:tc>
        <w:tc>
          <w:tcPr>
            <w:tcW w:w="709" w:type="dxa"/>
            <w:vAlign w:val="center"/>
          </w:tcPr>
          <w:p w14:paraId="6BE48EE6">
            <w:pPr>
              <w:pStyle w:val="19"/>
              <w:spacing w:line="276" w:lineRule="auto"/>
              <w:jc w:val="center"/>
              <w:rPr>
                <w:rFonts w:hint="default"/>
              </w:rPr>
            </w:pPr>
            <w:r>
              <w:t>序号</w:t>
            </w:r>
          </w:p>
        </w:tc>
        <w:tc>
          <w:tcPr>
            <w:tcW w:w="6922" w:type="dxa"/>
            <w:vAlign w:val="center"/>
          </w:tcPr>
          <w:p w14:paraId="3A4AF3FB">
            <w:pPr>
              <w:pStyle w:val="19"/>
              <w:spacing w:line="276" w:lineRule="auto"/>
              <w:jc w:val="center"/>
              <w:rPr>
                <w:rFonts w:hint="default"/>
              </w:rPr>
            </w:pPr>
            <w:r>
              <w:t>参数要求</w:t>
            </w:r>
          </w:p>
        </w:tc>
      </w:tr>
      <w:tr w14:paraId="38CA3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630D29AD">
            <w:pPr>
              <w:pStyle w:val="19"/>
              <w:spacing w:line="276" w:lineRule="auto"/>
              <w:jc w:val="center"/>
              <w:rPr>
                <w:rFonts w:hint="eastAsia" w:eastAsia="宋体" w:asciiTheme="minorHAnsi" w:hAnsiTheme="minorHAnsi" w:cstheme="minorBidi"/>
                <w:lang w:val="en-US" w:eastAsia="zh-CN" w:bidi="ar-SA"/>
              </w:rPr>
            </w:pPr>
          </w:p>
        </w:tc>
        <w:tc>
          <w:tcPr>
            <w:tcW w:w="709" w:type="dxa"/>
            <w:shd w:val="clear"/>
            <w:vAlign w:val="center"/>
          </w:tcPr>
          <w:p w14:paraId="0B04B488">
            <w:pPr>
              <w:pStyle w:val="19"/>
              <w:spacing w:line="276" w:lineRule="auto"/>
              <w:jc w:val="center"/>
              <w:rPr>
                <w:rFonts w:hint="default" w:asciiTheme="minorHAnsi" w:hAnsiTheme="minorHAnsi" w:eastAsiaTheme="minorEastAsia" w:cstheme="minorBidi"/>
                <w:lang w:val="en-US" w:eastAsia="zh-Hans" w:bidi="ar-SA"/>
              </w:rPr>
            </w:pPr>
            <w:r>
              <w:t>1</w:t>
            </w:r>
          </w:p>
        </w:tc>
        <w:tc>
          <w:tcPr>
            <w:tcW w:w="6922" w:type="dxa"/>
            <w:shd w:val="clear"/>
            <w:vAlign w:val="center"/>
          </w:tcPr>
          <w:p w14:paraId="78CA71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pacing w:val="0"/>
                <w:kern w:val="0"/>
                <w:sz w:val="20"/>
                <w:szCs w:val="24"/>
                <w:lang w:val="en-US" w:eastAsia="zh-CN" w:bidi="ar-SA"/>
              </w:rPr>
            </w:pPr>
            <w:r>
              <w:rPr>
                <w:rFonts w:hint="eastAsia" w:ascii="新宋体" w:hAnsi="新宋体" w:eastAsia="新宋体" w:cs="Arial Unicode MS"/>
                <w:szCs w:val="21"/>
              </w:rPr>
              <w:t>为电泳提供一个稳定的电压、电流或功率</w:t>
            </w:r>
          </w:p>
        </w:tc>
      </w:tr>
      <w:tr w14:paraId="6F4EED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41CDB1A9">
            <w:pPr>
              <w:pStyle w:val="19"/>
              <w:spacing w:line="276" w:lineRule="auto"/>
              <w:jc w:val="both"/>
              <w:rPr>
                <w:rFonts w:hint="eastAsia" w:eastAsia="宋体" w:asciiTheme="minorHAnsi" w:hAnsiTheme="minorHAnsi" w:cstheme="minorBidi"/>
                <w:lang w:val="en-US" w:eastAsia="zh-CN" w:bidi="ar-SA"/>
              </w:rPr>
            </w:pPr>
          </w:p>
        </w:tc>
        <w:tc>
          <w:tcPr>
            <w:tcW w:w="709" w:type="dxa"/>
            <w:shd w:val="clear"/>
            <w:vAlign w:val="center"/>
          </w:tcPr>
          <w:p w14:paraId="0B257A76">
            <w:pPr>
              <w:pStyle w:val="19"/>
              <w:spacing w:line="276" w:lineRule="auto"/>
              <w:jc w:val="center"/>
              <w:rPr>
                <w:rFonts w:hint="default" w:asciiTheme="minorHAnsi" w:hAnsiTheme="minorHAnsi" w:eastAsiaTheme="minorEastAsia" w:cstheme="minorBidi"/>
                <w:lang w:val="en-US" w:eastAsia="zh-Hans" w:bidi="ar-SA"/>
              </w:rPr>
            </w:pPr>
            <w:r>
              <w:t>2</w:t>
            </w:r>
          </w:p>
        </w:tc>
        <w:tc>
          <w:tcPr>
            <w:tcW w:w="6922" w:type="dxa"/>
            <w:shd w:val="clear"/>
            <w:vAlign w:val="center"/>
          </w:tcPr>
          <w:p w14:paraId="54FFAAF9">
            <w:pPr>
              <w:numPr>
                <w:ilvl w:val="0"/>
                <w:numId w:val="0"/>
              </w:numPr>
              <w:spacing w:line="276" w:lineRule="auto"/>
              <w:ind w:left="0" w:leftChars="0" w:firstLine="0" w:firstLineChars="0"/>
              <w:jc w:val="both"/>
              <w:rPr>
                <w:rFonts w:hint="default" w:ascii="宋体" w:hAnsi="宋体" w:eastAsia="宋体" w:cs="宋体"/>
                <w:spacing w:val="0"/>
                <w:kern w:val="0"/>
                <w:sz w:val="20"/>
                <w:szCs w:val="24"/>
                <w:lang w:val="en-US" w:eastAsia="zh-CN" w:bidi="ar-SA"/>
              </w:rPr>
            </w:pPr>
            <w:r>
              <w:rPr>
                <w:rFonts w:hint="eastAsia" w:ascii="新宋体" w:hAnsi="新宋体" w:eastAsia="新宋体" w:cs="Arial Unicode MS"/>
                <w:szCs w:val="21"/>
              </w:rPr>
              <w:t>能设定电泳的时间</w:t>
            </w:r>
          </w:p>
        </w:tc>
      </w:tr>
      <w:tr w14:paraId="1BD4D2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11DD2F2E">
            <w:pPr>
              <w:pStyle w:val="19"/>
              <w:spacing w:line="276" w:lineRule="auto"/>
              <w:jc w:val="center"/>
              <w:rPr>
                <w:rFonts w:hint="eastAsia" w:ascii="宋体" w:hAnsi="宋体" w:eastAsia="宋体" w:cs="宋体"/>
                <w:sz w:val="21"/>
                <w:szCs w:val="21"/>
                <w:lang w:val="en-US" w:eastAsia="zh-Hans" w:bidi="ar-SA"/>
              </w:rPr>
            </w:pPr>
            <w:r>
              <w:t>★</w:t>
            </w:r>
          </w:p>
        </w:tc>
        <w:tc>
          <w:tcPr>
            <w:tcW w:w="709" w:type="dxa"/>
            <w:shd w:val="clear"/>
            <w:vAlign w:val="center"/>
          </w:tcPr>
          <w:p w14:paraId="42ACDCA5">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3</w:t>
            </w:r>
          </w:p>
        </w:tc>
        <w:tc>
          <w:tcPr>
            <w:tcW w:w="6922" w:type="dxa"/>
            <w:shd w:val="clear"/>
            <w:vAlign w:val="center"/>
          </w:tcPr>
          <w:p w14:paraId="0FF473B7">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功率：1-75W，</w:t>
            </w:r>
          </w:p>
        </w:tc>
      </w:tr>
      <w:tr w14:paraId="713B7A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4CEC1DCA">
            <w:pPr>
              <w:pStyle w:val="19"/>
              <w:spacing w:line="276" w:lineRule="auto"/>
              <w:jc w:val="center"/>
              <w:rPr>
                <w:rFonts w:hint="eastAsia" w:ascii="宋体" w:hAnsi="宋体" w:eastAsia="宋体" w:cs="宋体"/>
                <w:sz w:val="21"/>
                <w:szCs w:val="21"/>
                <w:lang w:val="en-US" w:eastAsia="zh-Hans" w:bidi="ar-SA"/>
              </w:rPr>
            </w:pPr>
          </w:p>
        </w:tc>
        <w:tc>
          <w:tcPr>
            <w:tcW w:w="709" w:type="dxa"/>
            <w:shd w:val="clear"/>
            <w:vAlign w:val="center"/>
          </w:tcPr>
          <w:p w14:paraId="196AF367">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4</w:t>
            </w:r>
          </w:p>
        </w:tc>
        <w:tc>
          <w:tcPr>
            <w:tcW w:w="6922" w:type="dxa"/>
            <w:shd w:val="clear"/>
            <w:vAlign w:val="center"/>
          </w:tcPr>
          <w:p w14:paraId="46DF65CB">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电压：10-300伏，</w:t>
            </w:r>
          </w:p>
        </w:tc>
      </w:tr>
      <w:tr w14:paraId="7A3122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38210A3">
            <w:pPr>
              <w:pStyle w:val="19"/>
              <w:spacing w:line="276" w:lineRule="auto"/>
              <w:jc w:val="center"/>
              <w:rPr>
                <w:rFonts w:hint="eastAsia" w:ascii="宋体" w:hAnsi="宋体" w:eastAsia="宋体" w:cs="宋体"/>
                <w:sz w:val="21"/>
                <w:szCs w:val="21"/>
                <w:lang w:val="en-US" w:eastAsia="zh-Hans" w:bidi="ar-SA"/>
              </w:rPr>
            </w:pPr>
          </w:p>
        </w:tc>
        <w:tc>
          <w:tcPr>
            <w:tcW w:w="709" w:type="dxa"/>
            <w:shd w:val="clear"/>
            <w:vAlign w:val="center"/>
          </w:tcPr>
          <w:p w14:paraId="3A1FA3C7">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5</w:t>
            </w:r>
          </w:p>
        </w:tc>
        <w:tc>
          <w:tcPr>
            <w:tcW w:w="6922" w:type="dxa"/>
            <w:shd w:val="clear"/>
            <w:vAlign w:val="center"/>
          </w:tcPr>
          <w:p w14:paraId="3CD77874">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电流：4-400mA，使用于水平电泳，小型的SDS-PAGE，印迹电泳等。</w:t>
            </w:r>
          </w:p>
        </w:tc>
      </w:tr>
      <w:tr w14:paraId="7ACDD3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C80C37E">
            <w:pPr>
              <w:pStyle w:val="19"/>
              <w:spacing w:line="276" w:lineRule="auto"/>
              <w:jc w:val="center"/>
              <w:rPr>
                <w:rFonts w:hint="eastAsia" w:ascii="宋体" w:hAnsi="宋体" w:eastAsia="宋体" w:cs="宋体"/>
                <w:sz w:val="21"/>
                <w:szCs w:val="21"/>
                <w:lang w:val="en-US" w:eastAsia="zh-Hans" w:bidi="ar-SA"/>
              </w:rPr>
            </w:pPr>
            <w:r>
              <w:t>★</w:t>
            </w:r>
          </w:p>
        </w:tc>
        <w:tc>
          <w:tcPr>
            <w:tcW w:w="709" w:type="dxa"/>
            <w:shd w:val="clear"/>
            <w:vAlign w:val="center"/>
          </w:tcPr>
          <w:p w14:paraId="07D8CC86">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6</w:t>
            </w:r>
          </w:p>
        </w:tc>
        <w:tc>
          <w:tcPr>
            <w:tcW w:w="6922" w:type="dxa"/>
            <w:shd w:val="clear"/>
            <w:vAlign w:val="center"/>
          </w:tcPr>
          <w:p w14:paraId="7F310349">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lang w:val="en-US" w:eastAsia="zh-CN"/>
              </w:rPr>
              <w:t>E符号的故障代码，提前评估仪器状态。</w:t>
            </w:r>
          </w:p>
        </w:tc>
      </w:tr>
      <w:tr w14:paraId="452F2A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2" w:hRule="atLeast"/>
        </w:trPr>
        <w:tc>
          <w:tcPr>
            <w:tcW w:w="675" w:type="dxa"/>
            <w:shd w:val="clear"/>
            <w:vAlign w:val="center"/>
          </w:tcPr>
          <w:p w14:paraId="3C709063">
            <w:pPr>
              <w:pStyle w:val="19"/>
              <w:spacing w:line="276" w:lineRule="auto"/>
              <w:jc w:val="center"/>
              <w:rPr>
                <w:rFonts w:hint="eastAsia" w:ascii="宋体" w:hAnsi="宋体" w:eastAsia="宋体" w:cs="宋体"/>
                <w:sz w:val="21"/>
                <w:szCs w:val="21"/>
                <w:lang w:val="en-US" w:eastAsia="zh-Hans" w:bidi="ar-SA"/>
              </w:rPr>
            </w:pPr>
            <w:r>
              <w:t>★</w:t>
            </w:r>
          </w:p>
        </w:tc>
        <w:tc>
          <w:tcPr>
            <w:tcW w:w="709" w:type="dxa"/>
            <w:shd w:val="clear"/>
            <w:vAlign w:val="center"/>
          </w:tcPr>
          <w:p w14:paraId="72CE47E6">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7</w:t>
            </w:r>
          </w:p>
        </w:tc>
        <w:tc>
          <w:tcPr>
            <w:tcW w:w="6922" w:type="dxa"/>
            <w:shd w:val="clear"/>
            <w:vAlign w:val="center"/>
          </w:tcPr>
          <w:p w14:paraId="31DE0788">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lang w:val="en-US" w:eastAsia="zh-CN"/>
              </w:rPr>
              <w:t>电源上有红黑标记，电源开关设置在右后侧，可提醒正确使用仪器、提高安全性。</w:t>
            </w:r>
          </w:p>
        </w:tc>
      </w:tr>
      <w:tr w14:paraId="6133C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6E0455A3">
            <w:pPr>
              <w:pStyle w:val="19"/>
              <w:spacing w:line="276" w:lineRule="auto"/>
              <w:jc w:val="center"/>
              <w:rPr>
                <w:rFonts w:hint="eastAsia" w:ascii="宋体" w:hAnsi="宋体" w:eastAsia="宋体" w:cs="宋体"/>
                <w:sz w:val="21"/>
                <w:szCs w:val="21"/>
                <w:lang w:val="en-US" w:eastAsia="zh-Hans" w:bidi="ar-SA"/>
              </w:rPr>
            </w:pPr>
          </w:p>
        </w:tc>
        <w:tc>
          <w:tcPr>
            <w:tcW w:w="709" w:type="dxa"/>
            <w:shd w:val="clear"/>
            <w:vAlign w:val="center"/>
          </w:tcPr>
          <w:p w14:paraId="5D645DFE">
            <w:pPr>
              <w:pStyle w:val="19"/>
              <w:spacing w:line="276" w:lineRule="auto"/>
              <w:jc w:val="center"/>
              <w:rPr>
                <w:rFonts w:hint="default" w:eastAsia="宋体" w:asciiTheme="minorHAnsi" w:hAnsiTheme="minorHAnsi" w:cstheme="minorBidi"/>
                <w:lang w:val="en-US" w:eastAsia="zh-CN" w:bidi="ar-SA"/>
              </w:rPr>
            </w:pPr>
            <w:r>
              <w:rPr>
                <w:rFonts w:hint="eastAsia"/>
                <w:lang w:val="en-US" w:eastAsia="zh-CN"/>
              </w:rPr>
              <w:t>8</w:t>
            </w:r>
          </w:p>
        </w:tc>
        <w:tc>
          <w:tcPr>
            <w:tcW w:w="6922" w:type="dxa"/>
            <w:shd w:val="clear"/>
            <w:vAlign w:val="center"/>
          </w:tcPr>
          <w:p w14:paraId="568E41B0">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最大凝胶尺寸(W x L) 10 x 7.5 cm，凝胶容量2 块</w:t>
            </w:r>
          </w:p>
        </w:tc>
      </w:tr>
      <w:tr w14:paraId="6B21D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605438D6">
            <w:pPr>
              <w:pStyle w:val="19"/>
              <w:spacing w:line="276" w:lineRule="auto"/>
              <w:jc w:val="both"/>
              <w:rPr>
                <w:rFonts w:hint="eastAsia" w:asciiTheme="minorHAnsi" w:hAnsiTheme="minorHAnsi" w:eastAsiaTheme="minorEastAsia" w:cstheme="minorBidi"/>
                <w:lang w:val="en-US" w:eastAsia="zh-Hans" w:bidi="ar-SA"/>
              </w:rPr>
            </w:pPr>
          </w:p>
        </w:tc>
        <w:tc>
          <w:tcPr>
            <w:tcW w:w="709" w:type="dxa"/>
            <w:shd w:val="clear"/>
            <w:vAlign w:val="center"/>
          </w:tcPr>
          <w:p w14:paraId="0CE463E2">
            <w:pPr>
              <w:pStyle w:val="19"/>
              <w:spacing w:line="276" w:lineRule="auto"/>
              <w:jc w:val="center"/>
              <w:rPr>
                <w:rFonts w:hint="default" w:asciiTheme="minorHAnsi" w:hAnsiTheme="minorHAnsi" w:eastAsiaTheme="minorEastAsia" w:cstheme="minorBidi"/>
                <w:lang w:val="en-US" w:eastAsia="zh-CN" w:bidi="ar-SA"/>
              </w:rPr>
            </w:pPr>
            <w:r>
              <w:rPr>
                <w:rFonts w:hint="eastAsia"/>
                <w:lang w:val="en-US" w:eastAsia="zh-CN"/>
              </w:rPr>
              <w:t>9</w:t>
            </w:r>
          </w:p>
        </w:tc>
        <w:tc>
          <w:tcPr>
            <w:tcW w:w="6922" w:type="dxa"/>
            <w:shd w:val="clear"/>
            <w:vAlign w:val="center"/>
          </w:tcPr>
          <w:p w14:paraId="56FC3E77">
            <w:pPr>
              <w:numPr>
                <w:ilvl w:val="0"/>
                <w:numId w:val="0"/>
              </w:numPr>
              <w:spacing w:line="276" w:lineRule="auto"/>
              <w:ind w:left="0" w:leftChars="0" w:firstLine="0" w:firstLineChars="0"/>
              <w:jc w:val="both"/>
              <w:rPr>
                <w:rFonts w:hint="default" w:ascii="宋体" w:hAnsi="宋体" w:eastAsia="宋体" w:cs="宋体"/>
                <w:spacing w:val="0"/>
                <w:kern w:val="0"/>
                <w:sz w:val="20"/>
                <w:szCs w:val="24"/>
                <w:lang w:val="en-US" w:eastAsia="zh-CN" w:bidi="ar-SA"/>
              </w:rPr>
            </w:pPr>
            <w:r>
              <w:rPr>
                <w:rFonts w:hint="eastAsia" w:ascii="新宋体" w:hAnsi="新宋体" w:eastAsia="新宋体" w:cs="Arial Unicode MS"/>
                <w:szCs w:val="21"/>
              </w:rPr>
              <w:t>缓冲液要求450 ml</w:t>
            </w:r>
          </w:p>
        </w:tc>
      </w:tr>
      <w:tr w14:paraId="00D0F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1007C9E3">
            <w:pPr>
              <w:pStyle w:val="19"/>
              <w:spacing w:line="276" w:lineRule="auto"/>
              <w:jc w:val="both"/>
              <w:rPr>
                <w:rFonts w:hint="eastAsia" w:asciiTheme="minorHAnsi" w:hAnsiTheme="minorHAnsi" w:eastAsiaTheme="minorEastAsia" w:cstheme="minorBidi"/>
                <w:lang w:val="en-US" w:eastAsia="zh-Hans" w:bidi="ar-SA"/>
              </w:rPr>
            </w:pPr>
          </w:p>
        </w:tc>
        <w:tc>
          <w:tcPr>
            <w:tcW w:w="709" w:type="dxa"/>
            <w:shd w:val="clear"/>
            <w:vAlign w:val="center"/>
          </w:tcPr>
          <w:p w14:paraId="181C6732">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10</w:t>
            </w:r>
          </w:p>
        </w:tc>
        <w:tc>
          <w:tcPr>
            <w:tcW w:w="6922" w:type="dxa"/>
            <w:shd w:val="clear"/>
            <w:vAlign w:val="center"/>
          </w:tcPr>
          <w:p w14:paraId="091FA552">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1小时内可同时转印2 块10 x 7.5 cm 凝胶；也可进行低强度的过夜转印</w:t>
            </w:r>
          </w:p>
        </w:tc>
      </w:tr>
      <w:tr w14:paraId="30342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1F10B043">
            <w:pPr>
              <w:pStyle w:val="19"/>
              <w:spacing w:line="276" w:lineRule="auto"/>
              <w:jc w:val="center"/>
              <w:rPr>
                <w:rFonts w:hint="eastAsia" w:asciiTheme="minorHAnsi" w:hAnsiTheme="minorHAnsi" w:eastAsiaTheme="minorEastAsia" w:cstheme="minorBidi"/>
                <w:lang w:val="en-US" w:eastAsia="zh-Hans" w:bidi="ar-SA"/>
              </w:rPr>
            </w:pPr>
          </w:p>
        </w:tc>
        <w:tc>
          <w:tcPr>
            <w:tcW w:w="709" w:type="dxa"/>
            <w:shd w:val="clear"/>
            <w:vAlign w:val="center"/>
          </w:tcPr>
          <w:p w14:paraId="037C53E7">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11</w:t>
            </w:r>
          </w:p>
        </w:tc>
        <w:tc>
          <w:tcPr>
            <w:tcW w:w="6922" w:type="dxa"/>
            <w:shd w:val="clear"/>
            <w:vAlign w:val="center"/>
          </w:tcPr>
          <w:p w14:paraId="29A45009">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电极丝相距4cm，以产生强电场保证有效的蛋白转印</w:t>
            </w:r>
          </w:p>
        </w:tc>
      </w:tr>
      <w:tr w14:paraId="3B483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762CE02">
            <w:pPr>
              <w:pStyle w:val="19"/>
              <w:spacing w:line="276" w:lineRule="auto"/>
              <w:jc w:val="center"/>
              <w:rPr>
                <w:rFonts w:hint="eastAsia" w:asciiTheme="minorHAnsi" w:hAnsiTheme="minorHAnsi" w:eastAsiaTheme="minorEastAsia" w:cstheme="minorBidi"/>
                <w:lang w:val="en-US" w:eastAsia="zh-Hans" w:bidi="ar-SA"/>
              </w:rPr>
            </w:pPr>
          </w:p>
        </w:tc>
        <w:tc>
          <w:tcPr>
            <w:tcW w:w="709" w:type="dxa"/>
            <w:shd w:val="clear"/>
            <w:vAlign w:val="center"/>
          </w:tcPr>
          <w:p w14:paraId="5CD5D63A">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12</w:t>
            </w:r>
          </w:p>
        </w:tc>
        <w:tc>
          <w:tcPr>
            <w:tcW w:w="6922" w:type="dxa"/>
            <w:shd w:val="clear"/>
            <w:vAlign w:val="center"/>
          </w:tcPr>
          <w:p w14:paraId="572C6409">
            <w:pPr>
              <w:spacing w:line="276" w:lineRule="auto"/>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颜色标记的转印夹和电极，确保转印过程中凝胶的正确定向</w:t>
            </w:r>
          </w:p>
        </w:tc>
      </w:tr>
      <w:tr w14:paraId="6CEFBD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15AA348A">
            <w:pPr>
              <w:pStyle w:val="19"/>
              <w:spacing w:line="276" w:lineRule="auto"/>
              <w:jc w:val="center"/>
              <w:rPr>
                <w:rFonts w:hint="eastAsia" w:asciiTheme="minorHAnsi" w:hAnsiTheme="minorHAnsi" w:eastAsiaTheme="minorEastAsia" w:cstheme="minorBidi"/>
                <w:lang w:val="en-US" w:eastAsia="zh-Hans" w:bidi="ar-SA"/>
              </w:rPr>
            </w:pPr>
          </w:p>
        </w:tc>
        <w:tc>
          <w:tcPr>
            <w:tcW w:w="709" w:type="dxa"/>
            <w:shd w:val="clear"/>
            <w:vAlign w:val="center"/>
          </w:tcPr>
          <w:p w14:paraId="2EA5A81A">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13</w:t>
            </w:r>
          </w:p>
        </w:tc>
        <w:tc>
          <w:tcPr>
            <w:tcW w:w="6922" w:type="dxa"/>
            <w:shd w:val="clear"/>
            <w:vAlign w:val="center"/>
          </w:tcPr>
          <w:p w14:paraId="5BEF41C6">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rPr>
              <w:t>内置冷却装置，可作为一个模块与电泳槽的缓冲液槽和盖兼容</w:t>
            </w:r>
          </w:p>
        </w:tc>
      </w:tr>
      <w:tr w14:paraId="30DC7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4CBD7A8">
            <w:pPr>
              <w:pStyle w:val="19"/>
              <w:spacing w:line="276" w:lineRule="auto"/>
              <w:jc w:val="center"/>
              <w:rPr>
                <w:rFonts w:hint="eastAsia" w:asciiTheme="minorHAnsi" w:hAnsiTheme="minorHAnsi" w:eastAsiaTheme="minorEastAsia" w:cstheme="minorBidi"/>
                <w:lang w:val="en-US" w:eastAsia="zh-Hans" w:bidi="ar-SA"/>
              </w:rPr>
            </w:pPr>
            <w:r>
              <w:t>★</w:t>
            </w:r>
          </w:p>
        </w:tc>
        <w:tc>
          <w:tcPr>
            <w:tcW w:w="709" w:type="dxa"/>
            <w:shd w:val="clear"/>
            <w:vAlign w:val="center"/>
          </w:tcPr>
          <w:p w14:paraId="71EFA12B">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14</w:t>
            </w:r>
          </w:p>
        </w:tc>
        <w:tc>
          <w:tcPr>
            <w:tcW w:w="6922" w:type="dxa"/>
            <w:shd w:val="clear"/>
            <w:vAlign w:val="center"/>
          </w:tcPr>
          <w:p w14:paraId="36C255D9">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配置前处理lifete点动发生装置协同工作。</w:t>
            </w:r>
          </w:p>
        </w:tc>
      </w:tr>
      <w:tr w14:paraId="366939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D1E3F37">
            <w:pPr>
              <w:pStyle w:val="19"/>
              <w:spacing w:line="276" w:lineRule="auto"/>
              <w:jc w:val="center"/>
              <w:rPr>
                <w:rFonts w:hint="eastAsia" w:asciiTheme="minorHAnsi" w:hAnsiTheme="minorHAnsi" w:eastAsiaTheme="minorEastAsia" w:cstheme="minorBidi"/>
                <w:lang w:val="en-US" w:eastAsia="zh-Hans" w:bidi="ar-SA"/>
              </w:rPr>
            </w:pPr>
            <w:r>
              <w:t>★</w:t>
            </w:r>
          </w:p>
        </w:tc>
        <w:tc>
          <w:tcPr>
            <w:tcW w:w="709" w:type="dxa"/>
            <w:shd w:val="clear"/>
            <w:vAlign w:val="center"/>
          </w:tcPr>
          <w:p w14:paraId="0F2CB190">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15</w:t>
            </w:r>
          </w:p>
        </w:tc>
        <w:tc>
          <w:tcPr>
            <w:tcW w:w="6922" w:type="dxa"/>
            <w:shd w:val="clear"/>
            <w:vAlign w:val="center"/>
          </w:tcPr>
          <w:p w14:paraId="43AD4375">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配置清单：电源一台，转印模块一套，lifete点动发生装置一套。</w:t>
            </w:r>
          </w:p>
        </w:tc>
      </w:tr>
      <w:tr w14:paraId="06B6CD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012BF4CA">
            <w:pPr>
              <w:pStyle w:val="19"/>
              <w:spacing w:line="276" w:lineRule="auto"/>
              <w:jc w:val="center"/>
              <w:rPr>
                <w:rFonts w:hint="eastAsia" w:asciiTheme="minorHAnsi" w:hAnsiTheme="minorHAnsi" w:eastAsiaTheme="minorEastAsia" w:cstheme="minorBidi"/>
                <w:lang w:val="en-US" w:eastAsia="zh-Hans" w:bidi="ar-SA"/>
              </w:rPr>
            </w:pPr>
            <w:r>
              <w:t>★</w:t>
            </w:r>
          </w:p>
        </w:tc>
        <w:tc>
          <w:tcPr>
            <w:tcW w:w="709" w:type="dxa"/>
            <w:shd w:val="clear"/>
            <w:vAlign w:val="center"/>
          </w:tcPr>
          <w:p w14:paraId="20CDA7AB">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16</w:t>
            </w:r>
          </w:p>
        </w:tc>
        <w:tc>
          <w:tcPr>
            <w:tcW w:w="6922" w:type="dxa"/>
            <w:shd w:val="clear"/>
            <w:vAlign w:val="center"/>
          </w:tcPr>
          <w:p w14:paraId="77495BC1">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保修3年</w:t>
            </w:r>
          </w:p>
        </w:tc>
      </w:tr>
      <w:tr w14:paraId="2D0FDB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75" w:type="dxa"/>
            <w:shd w:val="clear"/>
            <w:vAlign w:val="center"/>
          </w:tcPr>
          <w:p w14:paraId="7D0352C2">
            <w:pPr>
              <w:pStyle w:val="19"/>
              <w:spacing w:line="276" w:lineRule="auto"/>
              <w:jc w:val="center"/>
              <w:rPr>
                <w:rFonts w:hint="eastAsia" w:asciiTheme="minorHAnsi" w:hAnsiTheme="minorHAnsi" w:eastAsiaTheme="minorEastAsia" w:cstheme="minorBidi"/>
                <w:lang w:val="en-US" w:eastAsia="zh-Hans" w:bidi="ar-SA"/>
              </w:rPr>
            </w:pPr>
            <w:r>
              <w:t>★</w:t>
            </w:r>
          </w:p>
        </w:tc>
        <w:tc>
          <w:tcPr>
            <w:tcW w:w="709" w:type="dxa"/>
            <w:shd w:val="clear"/>
            <w:vAlign w:val="center"/>
          </w:tcPr>
          <w:p w14:paraId="483965F3">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17</w:t>
            </w:r>
          </w:p>
        </w:tc>
        <w:tc>
          <w:tcPr>
            <w:tcW w:w="6922" w:type="dxa"/>
            <w:shd w:val="clear"/>
            <w:vAlign w:val="center"/>
          </w:tcPr>
          <w:p w14:paraId="76DD8B8B">
            <w:pPr>
              <w:numPr>
                <w:ilvl w:val="0"/>
                <w:numId w:val="0"/>
              </w:numPr>
              <w:spacing w:line="276" w:lineRule="auto"/>
              <w:ind w:left="0" w:leftChars="0" w:firstLine="0" w:firstLineChars="0"/>
              <w:jc w:val="both"/>
              <w:rPr>
                <w:rFonts w:hint="eastAsia" w:ascii="新宋体" w:hAnsi="新宋体" w:eastAsia="新宋体" w:cs="Arial Unicode MS"/>
                <w:kern w:val="2"/>
                <w:sz w:val="21"/>
                <w:szCs w:val="21"/>
                <w:lang w:val="en-US" w:eastAsia="zh-CN" w:bidi="ar-SA"/>
              </w:rPr>
            </w:pPr>
            <w:r>
              <w:rPr>
                <w:rFonts w:hint="eastAsia" w:ascii="新宋体" w:hAnsi="新宋体" w:eastAsia="新宋体" w:cs="Arial Unicode MS"/>
                <w:szCs w:val="21"/>
                <w:lang w:val="en-US" w:eastAsia="zh-CN"/>
              </w:rPr>
              <w:t>提供厂家授权书</w:t>
            </w:r>
          </w:p>
        </w:tc>
      </w:tr>
    </w:tbl>
    <w:p w14:paraId="02135C66">
      <w:pPr>
        <w:pStyle w:val="19"/>
        <w:spacing w:line="360" w:lineRule="auto"/>
        <w:rPr>
          <w:rFonts w:hint="eastAsia"/>
          <w:b/>
          <w:sz w:val="28"/>
          <w:lang w:val="en-US" w:eastAsia="zh-CN"/>
        </w:rPr>
      </w:pPr>
    </w:p>
    <w:p w14:paraId="77655360">
      <w:pPr>
        <w:pStyle w:val="19"/>
        <w:spacing w:line="360" w:lineRule="auto"/>
        <w:rPr>
          <w:rFonts w:hint="default"/>
        </w:rPr>
      </w:pPr>
      <w:r>
        <w:rPr>
          <w:rFonts w:hint="eastAsia"/>
          <w:b/>
          <w:sz w:val="28"/>
          <w:lang w:val="en-US" w:eastAsia="zh-CN"/>
        </w:rPr>
        <w:t>二</w:t>
      </w:r>
      <w:r>
        <w:rPr>
          <w:b/>
          <w:sz w:val="28"/>
        </w:rPr>
        <w:t>、响应要求</w:t>
      </w:r>
    </w:p>
    <w:p w14:paraId="20BDF784">
      <w:pPr>
        <w:pStyle w:val="19"/>
        <w:spacing w:line="360" w:lineRule="auto"/>
        <w:rPr>
          <w:rFonts w:hint="default"/>
        </w:rPr>
      </w:pPr>
      <w:r>
        <w:rPr>
          <w:rFonts w:hint="eastAsia"/>
          <w:b/>
          <w:sz w:val="24"/>
          <w:lang w:val="en-US" w:eastAsia="zh-CN"/>
        </w:rPr>
        <w:t>1</w:t>
      </w:r>
      <w:r>
        <w:rPr>
          <w:b/>
          <w:sz w:val="24"/>
        </w:rPr>
        <w:t>.响应文件的制作</w:t>
      </w:r>
    </w:p>
    <w:p w14:paraId="108736A7">
      <w:pPr>
        <w:bidi w:val="0"/>
      </w:pPr>
      <w:r>
        <w:rPr>
          <w:rFonts w:hint="eastAsia"/>
          <w:lang w:val="en-US" w:eastAsia="zh-CN"/>
        </w:rPr>
        <w:t xml:space="preserve">  </w:t>
      </w:r>
      <w:r>
        <w:rPr>
          <w:rFonts w:hint="eastAsia"/>
          <w:lang w:eastAsia="zh-CN"/>
        </w:rPr>
        <w:t>（</w:t>
      </w:r>
      <w:r>
        <w:rPr>
          <w:rFonts w:hint="eastAsia"/>
          <w:lang w:val="en-US" w:eastAsia="zh-CN"/>
        </w:rPr>
        <w:t>1</w:t>
      </w:r>
      <w:r>
        <w:rPr>
          <w:rFonts w:hint="eastAsia"/>
          <w:lang w:eastAsia="zh-CN"/>
        </w:rPr>
        <w:t>）</w:t>
      </w:r>
      <w:r>
        <w:t>响应文件中，所有内容均以</w:t>
      </w:r>
      <w:r>
        <w:rPr>
          <w:rFonts w:hint="eastAsia"/>
          <w:lang w:val="en-US" w:eastAsia="zh-CN"/>
        </w:rPr>
        <w:t>纸质</w:t>
      </w:r>
      <w:r>
        <w:t>文件编制，其格式要求</w:t>
      </w:r>
      <w:r>
        <w:rPr>
          <w:rFonts w:hint="eastAsia"/>
          <w:lang w:eastAsia="zh-CN"/>
        </w:rPr>
        <w:t>《</w:t>
      </w:r>
      <w:r>
        <w:rPr>
          <w:rFonts w:hint="eastAsia"/>
        </w:rPr>
        <w:t xml:space="preserve">广州医科大学附属第五院 </w:t>
      </w:r>
    </w:p>
    <w:p w14:paraId="155126E2">
      <w:pPr>
        <w:bidi w:val="0"/>
        <w:rPr>
          <w:rFonts w:hint="eastAsia"/>
          <w:lang w:eastAsia="zh-CN"/>
        </w:rPr>
      </w:pPr>
      <w:r>
        <w:rPr>
          <w:rFonts w:hint="eastAsia"/>
        </w:rPr>
        <w:t>设备报价资料</w:t>
      </w:r>
      <w:r>
        <w:rPr>
          <w:rFonts w:hint="eastAsia"/>
          <w:lang w:eastAsia="zh-CN"/>
        </w:rPr>
        <w:t>》。</w:t>
      </w:r>
    </w:p>
    <w:p w14:paraId="6E6AB6F4">
      <w:pPr>
        <w:bidi w:val="0"/>
        <w:rPr>
          <w:rFonts w:hint="default"/>
        </w:rPr>
      </w:pPr>
      <w:r>
        <w:rPr>
          <w:rFonts w:hint="eastAsia"/>
          <w:lang w:eastAsia="zh-CN"/>
        </w:rPr>
        <w:t>（</w:t>
      </w:r>
      <w:r>
        <w:rPr>
          <w:rFonts w:hint="eastAsia"/>
          <w:lang w:val="en-US" w:eastAsia="zh-CN"/>
        </w:rPr>
        <w:t>2</w:t>
      </w:r>
      <w:r>
        <w:rPr>
          <w:rFonts w:hint="eastAsia"/>
          <w:lang w:eastAsia="zh-CN"/>
        </w:rPr>
        <w:t>）</w:t>
      </w:r>
      <w:r>
        <w:t>响应报价包括本项目采购需求和投入使用的所有费用，包括但不限于主件、标准附件、备品备件、施工、服务、专用工具、安装、调试、检验、培训、运输、保险、税款等。</w:t>
      </w:r>
    </w:p>
    <w:p w14:paraId="0EF9A841">
      <w:pPr>
        <w:bidi w:val="0"/>
        <w:rPr>
          <w:rFonts w:hint="default"/>
        </w:rPr>
      </w:pPr>
      <w:r>
        <w:t>(3)响应报价不得有选择性报价和附有条件的报价，否则将导致响应无效。</w:t>
      </w:r>
    </w:p>
    <w:p w14:paraId="1AB87199">
      <w:pPr>
        <w:bidi w:val="0"/>
        <w:rPr>
          <w:rFonts w:hint="default"/>
        </w:rPr>
      </w:pPr>
      <w:r>
        <w:rPr>
          <w:rFonts w:hint="eastAsia"/>
          <w:lang w:eastAsia="zh-CN"/>
        </w:rPr>
        <w:t>（</w:t>
      </w:r>
      <w:r>
        <w:rPr>
          <w:rFonts w:hint="eastAsia"/>
          <w:lang w:val="en-US" w:eastAsia="zh-CN"/>
        </w:rPr>
        <w:t>4</w:t>
      </w:r>
      <w:r>
        <w:rPr>
          <w:rFonts w:hint="eastAsia"/>
          <w:lang w:eastAsia="zh-CN"/>
        </w:rPr>
        <w:t>）</w:t>
      </w:r>
      <w:r>
        <w:t>如有对多个采购包响应的，要对每个采购包独立制作电子响应文件。</w:t>
      </w:r>
    </w:p>
    <w:p w14:paraId="30EAC5F6">
      <w:pPr>
        <w:bidi w:val="0"/>
        <w:rPr>
          <w:rFonts w:hint="default"/>
        </w:rPr>
      </w:pPr>
      <w:r>
        <w:rPr>
          <w:rFonts w:hint="eastAsia"/>
          <w:lang w:eastAsia="zh-CN"/>
        </w:rPr>
        <w:t>（</w:t>
      </w:r>
      <w:r>
        <w:rPr>
          <w:rFonts w:hint="eastAsia"/>
          <w:lang w:val="en-US" w:eastAsia="zh-CN"/>
        </w:rPr>
        <w:t>5</w:t>
      </w:r>
      <w:r>
        <w:rPr>
          <w:rFonts w:hint="eastAsia"/>
          <w:lang w:eastAsia="zh-CN"/>
        </w:rPr>
        <w:t>）</w:t>
      </w:r>
      <w:r>
        <w:t>供应商不得将同一个项目或同一个采购包的内容拆开响应，否则其响应将被视为非实质性响应。</w:t>
      </w:r>
    </w:p>
    <w:p w14:paraId="39B93DDE">
      <w:pPr>
        <w:bidi w:val="0"/>
        <w:rPr>
          <w:rFonts w:hint="default"/>
        </w:rPr>
      </w:pPr>
      <w:r>
        <w:rPr>
          <w:rFonts w:hint="eastAsia"/>
          <w:lang w:eastAsia="zh-CN"/>
        </w:rPr>
        <w:t>（</w:t>
      </w:r>
      <w:r>
        <w:rPr>
          <w:rFonts w:hint="eastAsia"/>
          <w:lang w:val="en-US" w:eastAsia="zh-CN"/>
        </w:rPr>
        <w:t>6</w:t>
      </w:r>
      <w:r>
        <w:rPr>
          <w:rFonts w:hint="eastAsia"/>
          <w:lang w:eastAsia="zh-CN"/>
        </w:rPr>
        <w:t>）</w:t>
      </w:r>
      <w:r>
        <w:t>供应商须对询价通知书的对应要求给予唯一的实质性响应，否则将视为不响应。</w:t>
      </w:r>
    </w:p>
    <w:p w14:paraId="12873CC7">
      <w:pPr>
        <w:bidi w:val="0"/>
        <w:rPr>
          <w:rFonts w:hint="default"/>
        </w:rPr>
      </w:pPr>
      <w:r>
        <w:rPr>
          <w:rFonts w:hint="eastAsia"/>
          <w:lang w:eastAsia="zh-CN"/>
        </w:rPr>
        <w:t>（</w:t>
      </w:r>
      <w:r>
        <w:rPr>
          <w:rFonts w:hint="eastAsia"/>
          <w:lang w:val="en-US" w:eastAsia="zh-CN"/>
        </w:rPr>
        <w:t>7</w:t>
      </w:r>
      <w:r>
        <w:rPr>
          <w:rFonts w:hint="eastAsia"/>
          <w:lang w:eastAsia="zh-CN"/>
        </w:rPr>
        <w:t>）</w:t>
      </w:r>
      <w:r>
        <w:t>询价通知书中，凡标有“★”的地方均为实质性响应条款，供应商若有一项带“★”的条款未响应或不满足，将按无效响应处理。</w:t>
      </w:r>
    </w:p>
    <w:p w14:paraId="69334A93">
      <w:pPr>
        <w:bidi w:val="0"/>
        <w:rPr>
          <w:rFonts w:hint="default"/>
        </w:rPr>
      </w:pPr>
      <w:r>
        <w:rPr>
          <w:rFonts w:hint="eastAsia"/>
          <w:lang w:eastAsia="zh-CN"/>
        </w:rPr>
        <w:t>（</w:t>
      </w:r>
      <w:r>
        <w:rPr>
          <w:rFonts w:hint="eastAsia"/>
          <w:lang w:val="en-US" w:eastAsia="zh-CN"/>
        </w:rPr>
        <w:t>8</w:t>
      </w:r>
      <w:r>
        <w:rPr>
          <w:rFonts w:hint="eastAsia"/>
          <w:lang w:eastAsia="zh-CN"/>
        </w:rPr>
        <w:t>）</w:t>
      </w:r>
      <w:r>
        <w:t>供应商必须按询价通知书指定的格式填写各种报价，各报价应计算正确。除在询价通知书另有规定外（如：报折扣、报优惠率等），计量单位应使用中华人民共和国法定计量单位，以人民币填报所有报价。</w:t>
      </w:r>
    </w:p>
    <w:p w14:paraId="53117C0C">
      <w:pPr>
        <w:bidi w:val="0"/>
        <w:rPr>
          <w:rFonts w:hint="default"/>
        </w:rPr>
      </w:pPr>
      <w:r>
        <w:rPr>
          <w:rFonts w:hint="eastAsia"/>
          <w:lang w:eastAsia="zh-CN"/>
        </w:rPr>
        <w:t>（</w:t>
      </w:r>
      <w:r>
        <w:rPr>
          <w:rFonts w:hint="eastAsia"/>
          <w:lang w:val="en-US" w:eastAsia="zh-CN"/>
        </w:rPr>
        <w:t>9</w:t>
      </w:r>
      <w:r>
        <w:rPr>
          <w:rFonts w:hint="eastAsia"/>
          <w:lang w:eastAsia="zh-CN"/>
        </w:rPr>
        <w:t>）</w:t>
      </w:r>
      <w:r>
        <w:t>供应商应按询价通知书的规定及附件要求的内容和格式完整地填写和提供资料。供应商必须对响应文件所提供的全部资料的真实性承担法律责任，并无条件接受采购人对其中任何资料进行核实（核对原件）的要求。</w:t>
      </w:r>
    </w:p>
    <w:p w14:paraId="60D0A90E">
      <w:pPr>
        <w:pStyle w:val="19"/>
        <w:spacing w:line="360" w:lineRule="auto"/>
        <w:rPr>
          <w:rFonts w:hint="default"/>
        </w:rPr>
      </w:pPr>
      <w:r>
        <w:rPr>
          <w:rFonts w:hint="eastAsia"/>
          <w:b/>
          <w:sz w:val="24"/>
          <w:lang w:val="en-US" w:eastAsia="zh-CN"/>
        </w:rPr>
        <w:t>2</w:t>
      </w:r>
      <w:r>
        <w:rPr>
          <w:b/>
          <w:sz w:val="24"/>
        </w:rPr>
        <w:t>.响应文件的提交</w:t>
      </w:r>
    </w:p>
    <w:p w14:paraId="3FF26FFA">
      <w:pPr>
        <w:pStyle w:val="19"/>
        <w:spacing w:line="360" w:lineRule="auto"/>
        <w:ind w:firstLine="400" w:firstLineChars="200"/>
        <w:rPr>
          <w:rFonts w:hint="default"/>
        </w:rPr>
      </w:pPr>
      <w:r>
        <w:t>在响应文件提交截止时间前，供应商须将响应文件</w:t>
      </w:r>
      <w:r>
        <w:rPr>
          <w:rFonts w:hint="eastAsia"/>
          <w:lang w:val="en-US" w:eastAsia="zh-CN"/>
        </w:rPr>
        <w:t>提交到设备科</w:t>
      </w:r>
      <w:r>
        <w:t>，响应截止时间结束后，不</w:t>
      </w:r>
      <w:r>
        <w:rPr>
          <w:rFonts w:hint="eastAsia"/>
          <w:lang w:val="en-US" w:eastAsia="zh-CN"/>
        </w:rPr>
        <w:t>再接收</w:t>
      </w:r>
      <w:r>
        <w:t>。</w:t>
      </w:r>
    </w:p>
    <w:p w14:paraId="67F8509F">
      <w:pPr>
        <w:pStyle w:val="19"/>
        <w:spacing w:line="360" w:lineRule="auto"/>
        <w:rPr>
          <w:rFonts w:hint="default"/>
        </w:rPr>
      </w:pPr>
      <w:r>
        <w:rPr>
          <w:rFonts w:hint="eastAsia"/>
          <w:b/>
          <w:sz w:val="24"/>
          <w:lang w:val="en-US" w:eastAsia="zh-CN"/>
        </w:rPr>
        <w:t>3</w:t>
      </w:r>
      <w:r>
        <w:rPr>
          <w:b/>
          <w:sz w:val="24"/>
        </w:rPr>
        <w:t>.样品（演示）</w:t>
      </w:r>
    </w:p>
    <w:p w14:paraId="3C39E490">
      <w:pPr>
        <w:pStyle w:val="19"/>
        <w:spacing w:line="360" w:lineRule="auto"/>
        <w:ind w:firstLine="480"/>
        <w:rPr>
          <w:rFonts w:hint="default"/>
        </w:rPr>
      </w:pPr>
      <w:r>
        <w:rPr>
          <w:rFonts w:hint="eastAsia"/>
          <w:lang w:eastAsia="zh-CN"/>
        </w:rPr>
        <w:t>（</w:t>
      </w:r>
      <w:r>
        <w:rPr>
          <w:rFonts w:hint="eastAsia"/>
          <w:lang w:val="en-US" w:eastAsia="zh-CN"/>
        </w:rPr>
        <w:t>1</w:t>
      </w:r>
      <w:r>
        <w:rPr>
          <w:rFonts w:hint="eastAsia"/>
          <w:lang w:eastAsia="zh-CN"/>
        </w:rPr>
        <w:t>）</w:t>
      </w:r>
      <w:r>
        <w:rPr>
          <w:rFonts w:hint="eastAsia"/>
          <w:lang w:val="en-US" w:eastAsia="zh-CN"/>
        </w:rPr>
        <w:t>如</w:t>
      </w:r>
      <w:r>
        <w:t>询价通知书规定供应商提交样品的，样品属于响应文件的组成部分。样品的生产、运输、安装、保全等一切费用由供应商自理。</w:t>
      </w:r>
    </w:p>
    <w:p w14:paraId="14024B5F">
      <w:pPr>
        <w:pStyle w:val="19"/>
        <w:spacing w:line="360" w:lineRule="auto"/>
        <w:ind w:firstLine="480"/>
        <w:rPr>
          <w:rFonts w:hint="default"/>
        </w:rPr>
      </w:pPr>
      <w:r>
        <w:rPr>
          <w:rFonts w:hint="eastAsia"/>
          <w:lang w:eastAsia="zh-CN"/>
        </w:rPr>
        <w:t>（</w:t>
      </w:r>
      <w:r>
        <w:rPr>
          <w:rFonts w:hint="eastAsia"/>
          <w:lang w:val="en-US" w:eastAsia="zh-CN"/>
        </w:rPr>
        <w:t>2</w:t>
      </w:r>
      <w:r>
        <w:rPr>
          <w:rFonts w:hint="eastAsia"/>
          <w:lang w:eastAsia="zh-CN"/>
        </w:rPr>
        <w:t>）</w:t>
      </w:r>
      <w:r>
        <w:t>响应截止时间前，供应商应将样品送达至指定地点。若需要现场演示的，供应商应提前做好演示准备（包括演示设备）。</w:t>
      </w:r>
    </w:p>
    <w:p w14:paraId="371233EF">
      <w:pPr>
        <w:pStyle w:val="19"/>
        <w:spacing w:line="360" w:lineRule="auto"/>
        <w:ind w:firstLine="480"/>
        <w:rPr>
          <w:rFonts w:hint="default"/>
        </w:rPr>
      </w:pPr>
      <w:r>
        <w:rPr>
          <w:rFonts w:hint="eastAsia"/>
          <w:lang w:eastAsia="zh-CN"/>
        </w:rPr>
        <w:t>（</w:t>
      </w:r>
      <w:r>
        <w:rPr>
          <w:rFonts w:hint="eastAsia"/>
          <w:lang w:val="en-US" w:eastAsia="zh-CN"/>
        </w:rPr>
        <w:t>3</w:t>
      </w:r>
      <w:r>
        <w:rPr>
          <w:rFonts w:hint="eastAsia"/>
          <w:lang w:eastAsia="zh-CN"/>
        </w:rPr>
        <w:t>）</w:t>
      </w:r>
      <w:r>
        <w:t>采购结果公告发布后，成交供应商的样品由采购人封存，作为履约验收的依据之一。未成交供应商在接到</w:t>
      </w:r>
      <w:r>
        <w:rPr>
          <w:rFonts w:hint="eastAsia"/>
          <w:lang w:val="en-US" w:eastAsia="zh-CN"/>
        </w:rPr>
        <w:t>医院</w:t>
      </w:r>
      <w:r>
        <w:t>通知后，应按规定时间尽快自行取回样品，否则视同供应商不再认领，</w:t>
      </w:r>
      <w:r>
        <w:rPr>
          <w:rFonts w:hint="eastAsia"/>
          <w:lang w:val="en-US" w:eastAsia="zh-CN"/>
        </w:rPr>
        <w:t>医院</w:t>
      </w:r>
      <w:r>
        <w:t>有权进行处理。</w:t>
      </w:r>
    </w:p>
    <w:p w14:paraId="505F290C">
      <w:pPr>
        <w:pStyle w:val="19"/>
        <w:spacing w:line="360" w:lineRule="auto"/>
        <w:rPr>
          <w:rFonts w:hint="default"/>
        </w:rPr>
      </w:pPr>
      <w:r>
        <w:rPr>
          <w:rFonts w:hint="eastAsia"/>
          <w:b/>
          <w:sz w:val="24"/>
          <w:lang w:val="en-US" w:eastAsia="zh-CN"/>
        </w:rPr>
        <w:t>4.</w:t>
      </w:r>
      <w:r>
        <w:rPr>
          <w:b/>
          <w:sz w:val="24"/>
        </w:rPr>
        <w:t>除询价通知书另有规定外，有下列情形之一的，视为响应无效：</w:t>
      </w:r>
    </w:p>
    <w:p w14:paraId="6DB6874D">
      <w:pPr>
        <w:pStyle w:val="19"/>
        <w:spacing w:line="360" w:lineRule="auto"/>
        <w:ind w:firstLine="480"/>
        <w:rPr>
          <w:rFonts w:hint="default"/>
        </w:rPr>
      </w:pPr>
      <w:r>
        <w:rPr>
          <w:rFonts w:hint="eastAsia"/>
          <w:lang w:eastAsia="zh-CN"/>
        </w:rPr>
        <w:t>（</w:t>
      </w:r>
      <w:r>
        <w:rPr>
          <w:rFonts w:hint="eastAsia"/>
          <w:lang w:val="en-US" w:eastAsia="zh-CN"/>
        </w:rPr>
        <w:t>1</w:t>
      </w:r>
      <w:r>
        <w:rPr>
          <w:rFonts w:hint="eastAsia"/>
          <w:lang w:eastAsia="zh-CN"/>
        </w:rPr>
        <w:t>）</w:t>
      </w:r>
      <w:r>
        <w:t>响应文件未按照询价通知书要求签署、盖章；</w:t>
      </w:r>
    </w:p>
    <w:p w14:paraId="0E717BED">
      <w:pPr>
        <w:pStyle w:val="19"/>
        <w:spacing w:line="360" w:lineRule="auto"/>
        <w:ind w:firstLine="480"/>
        <w:rPr>
          <w:rFonts w:hint="default"/>
        </w:rPr>
      </w:pPr>
      <w:r>
        <w:rPr>
          <w:rFonts w:hint="eastAsia"/>
          <w:lang w:eastAsia="zh-CN"/>
        </w:rPr>
        <w:t>（</w:t>
      </w:r>
      <w:r>
        <w:rPr>
          <w:rFonts w:hint="eastAsia"/>
          <w:lang w:val="en-US" w:eastAsia="zh-CN"/>
        </w:rPr>
        <w:t>2</w:t>
      </w:r>
      <w:r>
        <w:rPr>
          <w:rFonts w:hint="eastAsia"/>
          <w:lang w:eastAsia="zh-CN"/>
        </w:rPr>
        <w:t>）</w:t>
      </w:r>
      <w:r>
        <w:t>不符合询价通知书中规定的资格要求；</w:t>
      </w:r>
    </w:p>
    <w:p w14:paraId="32ABFCC1">
      <w:pPr>
        <w:pStyle w:val="19"/>
        <w:spacing w:line="360" w:lineRule="auto"/>
        <w:ind w:firstLine="480"/>
        <w:rPr>
          <w:rFonts w:hint="default"/>
        </w:rPr>
      </w:pPr>
      <w:r>
        <w:rPr>
          <w:rFonts w:hint="eastAsia"/>
          <w:lang w:eastAsia="zh-CN"/>
        </w:rPr>
        <w:t>（</w:t>
      </w:r>
      <w:r>
        <w:rPr>
          <w:rFonts w:hint="eastAsia"/>
          <w:lang w:val="en-US" w:eastAsia="zh-CN"/>
        </w:rPr>
        <w:t>3</w:t>
      </w:r>
      <w:r>
        <w:rPr>
          <w:rFonts w:hint="eastAsia"/>
          <w:lang w:eastAsia="zh-CN"/>
        </w:rPr>
        <w:t>）</w:t>
      </w:r>
      <w:r>
        <w:t>响应报价超过询价通知书中规定的预算金额或最高限价；</w:t>
      </w:r>
    </w:p>
    <w:p w14:paraId="0B0C40CC">
      <w:pPr>
        <w:pStyle w:val="19"/>
        <w:spacing w:line="360" w:lineRule="auto"/>
        <w:ind w:firstLine="480"/>
        <w:rPr>
          <w:rFonts w:hint="default"/>
        </w:rPr>
      </w:pPr>
      <w:r>
        <w:rPr>
          <w:rFonts w:hint="eastAsia"/>
          <w:lang w:eastAsia="zh-CN"/>
        </w:rPr>
        <w:t>（</w:t>
      </w:r>
      <w:r>
        <w:rPr>
          <w:rFonts w:hint="eastAsia"/>
          <w:lang w:val="en-US" w:eastAsia="zh-CN"/>
        </w:rPr>
        <w:t>4</w:t>
      </w:r>
      <w:r>
        <w:rPr>
          <w:rFonts w:hint="eastAsia"/>
          <w:lang w:eastAsia="zh-CN"/>
        </w:rPr>
        <w:t>）</w:t>
      </w:r>
      <w:r>
        <w:t>响应文件含有采购人不能接受的附加条件；</w:t>
      </w:r>
    </w:p>
    <w:p w14:paraId="701E8CED">
      <w:pPr>
        <w:pStyle w:val="19"/>
        <w:spacing w:line="360" w:lineRule="auto"/>
        <w:ind w:firstLine="480"/>
        <w:rPr>
          <w:rFonts w:hint="default"/>
        </w:rPr>
      </w:pPr>
      <w:r>
        <w:rPr>
          <w:rFonts w:hint="eastAsia"/>
          <w:lang w:eastAsia="zh-CN"/>
        </w:rPr>
        <w:t>（</w:t>
      </w:r>
      <w:r>
        <w:rPr>
          <w:rFonts w:hint="eastAsia"/>
          <w:lang w:val="en-US" w:eastAsia="zh-CN"/>
        </w:rPr>
        <w:t>5</w:t>
      </w:r>
      <w:r>
        <w:rPr>
          <w:rFonts w:hint="eastAsia"/>
          <w:lang w:eastAsia="zh-CN"/>
        </w:rPr>
        <w:t>）</w:t>
      </w:r>
      <w:r>
        <w:t>有关法律、法规和规章及询价通知书规定的其他无效情形。</w:t>
      </w:r>
    </w:p>
    <w:p w14:paraId="5F11507D">
      <w:pPr>
        <w:pStyle w:val="19"/>
        <w:spacing w:line="360" w:lineRule="auto"/>
        <w:rPr>
          <w:rFonts w:hint="eastAsia" w:eastAsiaTheme="minorEastAsia"/>
          <w:lang w:eastAsia="zh-CN"/>
        </w:rPr>
      </w:pPr>
      <w:r>
        <w:rPr>
          <w:rFonts w:hint="eastAsia"/>
          <w:b/>
          <w:sz w:val="28"/>
          <w:lang w:val="en-US" w:eastAsia="zh-CN"/>
        </w:rPr>
        <w:t>三</w:t>
      </w:r>
      <w:r>
        <w:rPr>
          <w:b/>
          <w:sz w:val="28"/>
        </w:rPr>
        <w:t>、</w:t>
      </w:r>
      <w:r>
        <w:rPr>
          <w:rFonts w:hint="eastAsia"/>
          <w:b/>
          <w:sz w:val="28"/>
          <w:lang w:val="en-US" w:eastAsia="zh-CN"/>
        </w:rPr>
        <w:t>开启</w:t>
      </w:r>
    </w:p>
    <w:p w14:paraId="3649B6EF">
      <w:pPr>
        <w:pStyle w:val="19"/>
        <w:spacing w:line="360" w:lineRule="auto"/>
        <w:rPr>
          <w:rFonts w:hint="default"/>
        </w:rPr>
      </w:pPr>
      <w:r>
        <w:rPr>
          <w:b/>
          <w:sz w:val="24"/>
        </w:rPr>
        <w:t>1. 响应文件的开启</w:t>
      </w:r>
    </w:p>
    <w:p w14:paraId="44FBBB67">
      <w:pPr>
        <w:pStyle w:val="19"/>
        <w:spacing w:line="360" w:lineRule="auto"/>
        <w:ind w:firstLine="480"/>
        <w:rPr>
          <w:rFonts w:hint="default"/>
        </w:rPr>
      </w:pPr>
      <w:r>
        <w:t>1.1 开启程序</w:t>
      </w:r>
    </w:p>
    <w:p w14:paraId="78378307">
      <w:pPr>
        <w:pStyle w:val="19"/>
        <w:spacing w:line="360" w:lineRule="auto"/>
        <w:ind w:firstLine="480"/>
        <w:rPr>
          <w:rFonts w:hint="default"/>
        </w:rPr>
      </w:pPr>
      <w:r>
        <w:t>工作人员按询价公告规定的时间进行开启。</w:t>
      </w:r>
    </w:p>
    <w:p w14:paraId="1A72A541">
      <w:pPr>
        <w:pStyle w:val="19"/>
        <w:spacing w:line="360" w:lineRule="auto"/>
        <w:ind w:firstLine="480"/>
        <w:rPr>
          <w:rFonts w:hint="default"/>
        </w:rPr>
      </w:pPr>
      <w:r>
        <w:t>1.2开启异议</w:t>
      </w:r>
    </w:p>
    <w:p w14:paraId="492B2587">
      <w:pPr>
        <w:pStyle w:val="19"/>
        <w:spacing w:line="360" w:lineRule="auto"/>
        <w:ind w:firstLine="480"/>
        <w:rPr>
          <w:rFonts w:hint="default"/>
        </w:rPr>
      </w:pPr>
      <w:r>
        <w:t>响应截止时间后，供应商不足须知前附表中约定的有效供应商家数，不得开启。同时，本次采购活动结束。</w:t>
      </w:r>
    </w:p>
    <w:p w14:paraId="79558BE0">
      <w:pPr>
        <w:pStyle w:val="19"/>
        <w:numPr>
          <w:ilvl w:val="0"/>
          <w:numId w:val="1"/>
        </w:numPr>
        <w:spacing w:line="360" w:lineRule="auto"/>
        <w:jc w:val="both"/>
        <w:outlineLvl w:val="0"/>
        <w:rPr>
          <w:b/>
          <w:sz w:val="36"/>
        </w:rPr>
      </w:pPr>
      <w:bookmarkStart w:id="2" w:name="_Toc181637022"/>
      <w:r>
        <w:rPr>
          <w:b/>
          <w:sz w:val="36"/>
        </w:rPr>
        <w:t>评审</w:t>
      </w:r>
      <w:bookmarkEnd w:id="2"/>
    </w:p>
    <w:p w14:paraId="0F2F2A79">
      <w:pPr>
        <w:pStyle w:val="19"/>
        <w:numPr>
          <w:ilvl w:val="0"/>
          <w:numId w:val="0"/>
        </w:numPr>
        <w:spacing w:line="360" w:lineRule="auto"/>
        <w:jc w:val="both"/>
        <w:outlineLvl w:val="0"/>
        <w:rPr>
          <w:rFonts w:hint="default" w:eastAsiaTheme="minorEastAsia"/>
          <w:b/>
          <w:sz w:val="36"/>
          <w:lang w:val="en-US" w:eastAsia="zh-CN"/>
        </w:rPr>
      </w:pPr>
      <w:r>
        <w:rPr>
          <w:rFonts w:hint="eastAsia"/>
          <w:b/>
          <w:sz w:val="36"/>
          <w:lang w:eastAsia="zh-CN"/>
        </w:rPr>
        <w:t>（</w:t>
      </w:r>
      <w:r>
        <w:rPr>
          <w:rFonts w:hint="eastAsia"/>
          <w:b/>
          <w:sz w:val="36"/>
          <w:lang w:val="en-US" w:eastAsia="zh-CN"/>
        </w:rPr>
        <w:t>一</w:t>
      </w:r>
      <w:r>
        <w:rPr>
          <w:rFonts w:hint="eastAsia"/>
          <w:b/>
          <w:sz w:val="36"/>
          <w:lang w:eastAsia="zh-CN"/>
        </w:rPr>
        <w:t>）</w:t>
      </w:r>
      <w:r>
        <w:rPr>
          <w:rFonts w:hint="eastAsia"/>
          <w:b/>
          <w:sz w:val="36"/>
          <w:lang w:val="en-US" w:eastAsia="zh-CN"/>
        </w:rPr>
        <w:t>评审方法</w:t>
      </w:r>
    </w:p>
    <w:p w14:paraId="01941B2D">
      <w:pPr>
        <w:pStyle w:val="19"/>
        <w:spacing w:line="360" w:lineRule="auto"/>
        <w:rPr>
          <w:rFonts w:hint="default"/>
        </w:rPr>
      </w:pPr>
      <w:r>
        <w:rPr>
          <w:b/>
          <w:sz w:val="24"/>
        </w:rPr>
        <w:t>1.评审方法</w:t>
      </w:r>
    </w:p>
    <w:p w14:paraId="29E32FAB">
      <w:pPr>
        <w:pStyle w:val="19"/>
        <w:spacing w:line="360" w:lineRule="auto"/>
        <w:ind w:firstLine="480"/>
        <w:rPr>
          <w:rFonts w:hint="default"/>
        </w:rPr>
      </w:pPr>
      <w:r>
        <w:t>最低评审价法,是指响应文件满足询价通知书全部实质性要求，且响应报价最低的供应商为成交候选人的评审方法。</w:t>
      </w:r>
    </w:p>
    <w:p w14:paraId="0BA86DF2">
      <w:pPr>
        <w:pStyle w:val="19"/>
        <w:spacing w:line="360" w:lineRule="auto"/>
        <w:rPr>
          <w:rFonts w:hint="default"/>
        </w:rPr>
      </w:pPr>
      <w:r>
        <w:rPr>
          <w:b/>
          <w:sz w:val="24"/>
        </w:rPr>
        <w:t>2.评审原则</w:t>
      </w:r>
    </w:p>
    <w:p w14:paraId="578E8C15">
      <w:pPr>
        <w:pStyle w:val="19"/>
        <w:spacing w:line="360" w:lineRule="auto"/>
        <w:ind w:firstLine="480"/>
        <w:rPr>
          <w:rFonts w:hint="default"/>
        </w:rPr>
      </w:pPr>
      <w:r>
        <w:t>2.1评审活动遵循公平、公正、科学和择优的原则，以询价通知书和响应文件为评审的基本依据，并按照询价通知书规定的评审方法和评审标准进行评审。</w:t>
      </w:r>
    </w:p>
    <w:p w14:paraId="12A0D570">
      <w:pPr>
        <w:pStyle w:val="19"/>
        <w:spacing w:line="360" w:lineRule="auto"/>
        <w:ind w:firstLine="480"/>
        <w:rPr>
          <w:rFonts w:hint="default"/>
        </w:rPr>
      </w:pPr>
      <w:r>
        <w:t>2.2具体评审事项由询价小组负责，并按询价通知书的规定办法进行评审。</w:t>
      </w:r>
    </w:p>
    <w:p w14:paraId="3F28F6B7">
      <w:pPr>
        <w:pStyle w:val="19"/>
        <w:spacing w:line="360" w:lineRule="auto"/>
        <w:ind w:firstLine="480"/>
        <w:rPr>
          <w:rFonts w:hint="default"/>
        </w:rPr>
      </w:pPr>
      <w:r>
        <w:t>2.3合格供应商不足须知前附表中约定的有效供应商家数，不得评审。</w:t>
      </w:r>
    </w:p>
    <w:p w14:paraId="218D99D5">
      <w:pPr>
        <w:pStyle w:val="19"/>
        <w:spacing w:line="360" w:lineRule="auto"/>
        <w:rPr>
          <w:rFonts w:hint="default"/>
        </w:rPr>
      </w:pPr>
      <w:r>
        <w:rPr>
          <w:b/>
          <w:sz w:val="24"/>
        </w:rPr>
        <w:t>3.询价小组</w:t>
      </w:r>
    </w:p>
    <w:p w14:paraId="50534191">
      <w:pPr>
        <w:pStyle w:val="19"/>
        <w:spacing w:line="360" w:lineRule="auto"/>
        <w:ind w:firstLine="480"/>
        <w:rPr>
          <w:rFonts w:hint="default"/>
        </w:rPr>
      </w:pPr>
      <w:r>
        <w:t>3.1询价小组由采购人代表和评审专家组成，成员人数应当为3人及以上单数。</w:t>
      </w:r>
    </w:p>
    <w:p w14:paraId="25073291">
      <w:pPr>
        <w:pStyle w:val="19"/>
        <w:spacing w:line="360" w:lineRule="auto"/>
        <w:ind w:firstLine="480"/>
        <w:rPr>
          <w:rFonts w:hint="default"/>
        </w:rPr>
      </w:pPr>
      <w:r>
        <w:t>3.2评审应遵守下列评审纪律：</w:t>
      </w:r>
    </w:p>
    <w:p w14:paraId="202BA4D1">
      <w:pPr>
        <w:pStyle w:val="19"/>
        <w:spacing w:line="360" w:lineRule="auto"/>
        <w:ind w:firstLine="480"/>
        <w:rPr>
          <w:rFonts w:hint="default"/>
        </w:rPr>
      </w:pPr>
      <w:r>
        <w:t>（1）评审情况不得私自外泄，有关信息由</w:t>
      </w:r>
      <w:r>
        <w:rPr>
          <w:rFonts w:hint="eastAsia"/>
          <w:lang w:val="en-US" w:eastAsia="zh-CN"/>
        </w:rPr>
        <w:t>设备科</w:t>
      </w:r>
      <w:r>
        <w:t>统一对外发布。</w:t>
      </w:r>
    </w:p>
    <w:p w14:paraId="455EABFC">
      <w:pPr>
        <w:pStyle w:val="19"/>
        <w:spacing w:line="360" w:lineRule="auto"/>
        <w:ind w:firstLine="480"/>
        <w:rPr>
          <w:rFonts w:hint="default"/>
        </w:rPr>
      </w:pPr>
      <w:r>
        <w:t>（2）对</w:t>
      </w:r>
      <w:r>
        <w:rPr>
          <w:rFonts w:hint="eastAsia"/>
          <w:lang w:val="en-US" w:eastAsia="zh-CN"/>
        </w:rPr>
        <w:t>设备科</w:t>
      </w:r>
      <w:r>
        <w:t>或供应商提供的要求保密的资料，不得摘记翻印和外传。</w:t>
      </w:r>
    </w:p>
    <w:p w14:paraId="5BF8B604">
      <w:pPr>
        <w:pStyle w:val="19"/>
        <w:spacing w:line="360" w:lineRule="auto"/>
        <w:ind w:firstLine="480"/>
        <w:rPr>
          <w:rFonts w:hint="default"/>
        </w:rPr>
      </w:pPr>
      <w:r>
        <w:t>（3）不得收受响应供应商或有关人员的任何礼物，不得串联鼓动其他人袒护供应商。若与供应商存在利害关系，则应主动声明并回避。</w:t>
      </w:r>
    </w:p>
    <w:p w14:paraId="6F6B9EA0">
      <w:pPr>
        <w:pStyle w:val="19"/>
        <w:spacing w:line="360" w:lineRule="auto"/>
        <w:ind w:firstLine="480"/>
        <w:rPr>
          <w:rFonts w:hint="default"/>
        </w:rPr>
      </w:pPr>
      <w:r>
        <w:t>（4）全体评委应按照询价通知书规定进行评审，一切认定事项应查有实据且不得弄虚作假。</w:t>
      </w:r>
    </w:p>
    <w:p w14:paraId="0EB164E7">
      <w:pPr>
        <w:pStyle w:val="19"/>
        <w:spacing w:line="360" w:lineRule="auto"/>
        <w:ind w:firstLine="480"/>
        <w:rPr>
          <w:rFonts w:hint="default"/>
        </w:rPr>
      </w:pPr>
      <w:r>
        <w:t>（5）询价小组各成员应当独立对每个响应供应商的响应文件进行评价，并对评价意见承担个人责任。评审过程中，不得发表倾向性言论。</w:t>
      </w:r>
    </w:p>
    <w:p w14:paraId="1CAA6E29">
      <w:pPr>
        <w:pStyle w:val="19"/>
        <w:spacing w:line="360" w:lineRule="auto"/>
        <w:ind w:firstLine="480"/>
        <w:rPr>
          <w:rFonts w:hint="default"/>
        </w:rPr>
      </w:pPr>
      <w:r>
        <w:t>3.3询价小组成员有下列情形之一的，受到邀请应主动提出回避，采购当事人也可以要求该成员回避：</w:t>
      </w:r>
    </w:p>
    <w:p w14:paraId="5150D99C">
      <w:pPr>
        <w:pStyle w:val="19"/>
        <w:spacing w:line="360" w:lineRule="auto"/>
        <w:ind w:firstLine="480"/>
        <w:rPr>
          <w:rFonts w:hint="default"/>
        </w:rPr>
      </w:pPr>
      <w:r>
        <w:t>（1）本人、配偶或直系亲属3年内曾在参加该采购项目的供应商中任职（包括一般工作）或担任顾问，或与参加该采购项目的供应商发生过法律纠纷；</w:t>
      </w:r>
    </w:p>
    <w:p w14:paraId="25B910C9">
      <w:pPr>
        <w:pStyle w:val="19"/>
        <w:spacing w:line="360" w:lineRule="auto"/>
        <w:ind w:firstLine="480"/>
        <w:rPr>
          <w:rFonts w:hint="default"/>
        </w:rPr>
      </w:pPr>
      <w:r>
        <w:t>（2）任职单位与采购人或参加该采购项目供应商存在行政隶属关系；</w:t>
      </w:r>
    </w:p>
    <w:p w14:paraId="47C5C410">
      <w:pPr>
        <w:pStyle w:val="19"/>
        <w:spacing w:line="360" w:lineRule="auto"/>
        <w:ind w:firstLine="480"/>
        <w:rPr>
          <w:rFonts w:hint="default"/>
        </w:rPr>
      </w:pPr>
      <w:r>
        <w:t>（3）曾经参加过该采购项目的进口产品或采购文件、采购需求、采购方式的论证和咨询服务工作；</w:t>
      </w:r>
    </w:p>
    <w:p w14:paraId="08FF79E0">
      <w:pPr>
        <w:pStyle w:val="19"/>
        <w:spacing w:line="360" w:lineRule="auto"/>
        <w:ind w:firstLine="480"/>
        <w:rPr>
          <w:rFonts w:hint="default"/>
        </w:rPr>
      </w:pPr>
      <w:r>
        <w:t>（4）是参加该采购项目供应商的上级主管部门、控股或参股单位的工作人员，或与该供应商存在其他经济利益关系；</w:t>
      </w:r>
    </w:p>
    <w:p w14:paraId="4BF3349B">
      <w:pPr>
        <w:pStyle w:val="19"/>
        <w:spacing w:line="360" w:lineRule="auto"/>
        <w:ind w:firstLine="480"/>
        <w:rPr>
          <w:rFonts w:hint="default"/>
        </w:rPr>
      </w:pPr>
      <w:r>
        <w:t>（5）询价小组成员之间具有配偶、近亲属关系；</w:t>
      </w:r>
    </w:p>
    <w:p w14:paraId="4C35FAEB">
      <w:pPr>
        <w:pStyle w:val="19"/>
        <w:spacing w:line="360" w:lineRule="auto"/>
        <w:ind w:firstLine="480"/>
        <w:rPr>
          <w:rFonts w:hint="default"/>
        </w:rPr>
      </w:pPr>
      <w:r>
        <w:t>（6）同一单位的评审专家在同一项目询价小组成员中超过1名；</w:t>
      </w:r>
    </w:p>
    <w:p w14:paraId="4DE7F6B1">
      <w:pPr>
        <w:pStyle w:val="19"/>
        <w:spacing w:line="360" w:lineRule="auto"/>
        <w:ind w:firstLine="480"/>
        <w:rPr>
          <w:rFonts w:hint="default"/>
        </w:rPr>
      </w:pPr>
      <w:r>
        <w:t>（7）法律、法规、规章规定应当回避以及其他可能影响公正评审的。</w:t>
      </w:r>
    </w:p>
    <w:p w14:paraId="56EFBEAA">
      <w:pPr>
        <w:pStyle w:val="19"/>
        <w:spacing w:line="360" w:lineRule="auto"/>
        <w:rPr>
          <w:rFonts w:hint="default"/>
        </w:rPr>
      </w:pPr>
      <w:r>
        <w:rPr>
          <w:b/>
          <w:sz w:val="24"/>
        </w:rPr>
        <w:t>4.有下列情形之一的，视为供应商串通响应，其响应无效；</w:t>
      </w:r>
    </w:p>
    <w:p w14:paraId="46725BD8">
      <w:pPr>
        <w:pStyle w:val="19"/>
        <w:spacing w:line="360" w:lineRule="auto"/>
        <w:ind w:firstLine="480"/>
        <w:rPr>
          <w:rFonts w:hint="default"/>
        </w:rPr>
      </w:pPr>
      <w:r>
        <w:t>4.1不同供应商的响应文件由同一单位或者个人编制；</w:t>
      </w:r>
    </w:p>
    <w:p w14:paraId="2C3A5060">
      <w:pPr>
        <w:pStyle w:val="19"/>
        <w:spacing w:line="360" w:lineRule="auto"/>
        <w:ind w:firstLine="480"/>
        <w:rPr>
          <w:rFonts w:hint="default"/>
        </w:rPr>
      </w:pPr>
      <w:r>
        <w:t>4.2不同供应商委托同一单位或者个人办理响应事宜；</w:t>
      </w:r>
    </w:p>
    <w:p w14:paraId="542A43B9">
      <w:pPr>
        <w:pStyle w:val="19"/>
        <w:spacing w:line="360" w:lineRule="auto"/>
        <w:ind w:firstLine="480"/>
        <w:rPr>
          <w:rFonts w:hint="default"/>
        </w:rPr>
      </w:pPr>
      <w:r>
        <w:t>4.3不同供应商的响应文件载明的项目管理成员或者联系人员为同一人；</w:t>
      </w:r>
    </w:p>
    <w:p w14:paraId="7474E9AB">
      <w:pPr>
        <w:pStyle w:val="19"/>
        <w:spacing w:line="360" w:lineRule="auto"/>
        <w:ind w:firstLine="480"/>
        <w:rPr>
          <w:rFonts w:hint="default"/>
        </w:rPr>
      </w:pPr>
      <w:r>
        <w:t>4.4不同供应商的响应文件异常一致或者响应报价呈规律性差异；</w:t>
      </w:r>
    </w:p>
    <w:p w14:paraId="443540AE">
      <w:pPr>
        <w:pStyle w:val="19"/>
        <w:spacing w:line="360" w:lineRule="auto"/>
        <w:ind w:firstLine="480"/>
        <w:rPr>
          <w:rFonts w:hint="default"/>
        </w:rPr>
      </w:pPr>
      <w:r>
        <w:t>4.5不同供应商的响应文件相互混装；</w:t>
      </w:r>
    </w:p>
    <w:p w14:paraId="49FF1AEB">
      <w:pPr>
        <w:pStyle w:val="19"/>
        <w:spacing w:line="360" w:lineRule="auto"/>
        <w:ind w:firstLine="480"/>
        <w:rPr>
          <w:rFonts w:hint="default"/>
        </w:rPr>
      </w:pPr>
      <w:r>
        <w:t>4.6不同供应商的响应保证金或购买电子保函支付款为从同一单位或个人的账户转出。</w:t>
      </w:r>
    </w:p>
    <w:p w14:paraId="5AB87CB1">
      <w:pPr>
        <w:pStyle w:val="19"/>
        <w:spacing w:line="360" w:lineRule="auto"/>
        <w:ind w:firstLine="480"/>
        <w:rPr>
          <w:rFonts w:hint="default"/>
        </w:rPr>
      </w:pPr>
      <w:r>
        <w:t>4.7供应商上传的电子响应文件使用该项目其他响应供应商的数字证书加密的或加盖该项目的其他响应供应商的电子印章的。</w:t>
      </w:r>
    </w:p>
    <w:p w14:paraId="72946B8A">
      <w:pPr>
        <w:pStyle w:val="19"/>
        <w:spacing w:line="360" w:lineRule="auto"/>
        <w:ind w:firstLine="480"/>
        <w:rPr>
          <w:rFonts w:hint="default"/>
        </w:rPr>
      </w:pPr>
      <w:r>
        <w:t>说明：在询价过程中发现供应商有上述情形的，询价小组应当认定其响应无效。同时，项目评审时被认定为串通响应的供应商不得参加该合同项下的采购活动。</w:t>
      </w:r>
    </w:p>
    <w:p w14:paraId="42EE73C9">
      <w:pPr>
        <w:pStyle w:val="19"/>
        <w:spacing w:line="360" w:lineRule="auto"/>
        <w:rPr>
          <w:rFonts w:hint="default"/>
        </w:rPr>
      </w:pPr>
      <w:r>
        <w:rPr>
          <w:b/>
          <w:sz w:val="24"/>
        </w:rPr>
        <w:t>5.其他响应无效的情形</w:t>
      </w:r>
    </w:p>
    <w:p w14:paraId="50DCBA2A">
      <w:pPr>
        <w:pStyle w:val="19"/>
        <w:spacing w:line="360" w:lineRule="auto"/>
        <w:ind w:firstLine="480"/>
        <w:rPr>
          <w:rFonts w:hint="default"/>
        </w:rPr>
      </w:pPr>
      <w:r>
        <w:t>详见资格性审查、符合性审查和询价通知书其他响应无效条款。</w:t>
      </w:r>
    </w:p>
    <w:p w14:paraId="3EDEB66C">
      <w:pPr>
        <w:pStyle w:val="19"/>
        <w:spacing w:line="360" w:lineRule="auto"/>
        <w:rPr>
          <w:rFonts w:hint="default"/>
        </w:rPr>
      </w:pPr>
      <w:r>
        <w:rPr>
          <w:b/>
          <w:sz w:val="24"/>
        </w:rPr>
        <w:t>6.确定成交人</w:t>
      </w:r>
    </w:p>
    <w:p w14:paraId="01092CEC">
      <w:pPr>
        <w:pStyle w:val="19"/>
        <w:spacing w:line="360" w:lineRule="auto"/>
        <w:ind w:firstLine="480"/>
        <w:rPr>
          <w:rFonts w:hint="default"/>
        </w:rPr>
      </w:pPr>
      <w:r>
        <w:t>询价小组按照询价通知书确定的评审方法、步骤、标准，对响应文件进行评审，确定成交供应商。</w:t>
      </w:r>
    </w:p>
    <w:p w14:paraId="580D0B7C">
      <w:pPr>
        <w:pStyle w:val="19"/>
        <w:spacing w:line="360" w:lineRule="auto"/>
        <w:rPr>
          <w:rFonts w:hint="default"/>
        </w:rPr>
      </w:pPr>
      <w:r>
        <w:rPr>
          <w:b/>
          <w:sz w:val="24"/>
        </w:rPr>
        <w:t>7.价格修正</w:t>
      </w:r>
    </w:p>
    <w:p w14:paraId="077E8545">
      <w:pPr>
        <w:pStyle w:val="19"/>
        <w:spacing w:line="360" w:lineRule="auto"/>
        <w:ind w:firstLine="480"/>
        <w:rPr>
          <w:rFonts w:hint="default"/>
        </w:rPr>
      </w:pPr>
      <w:r>
        <w:t>对报价的计算错误按以下原则修正：</w:t>
      </w:r>
    </w:p>
    <w:p w14:paraId="1BCB5241">
      <w:pPr>
        <w:pStyle w:val="19"/>
        <w:spacing w:line="360" w:lineRule="auto"/>
        <w:ind w:firstLine="480"/>
        <w:rPr>
          <w:rFonts w:hint="default"/>
        </w:rPr>
      </w:pPr>
      <w:r>
        <w:t>（1）响应文件中报价一览表（报价表）内容与响应文件中相应内容不一致的，以报价一览表（报价表）为准；</w:t>
      </w:r>
    </w:p>
    <w:p w14:paraId="621F4534">
      <w:pPr>
        <w:pStyle w:val="19"/>
        <w:spacing w:line="360" w:lineRule="auto"/>
        <w:ind w:firstLine="480"/>
        <w:rPr>
          <w:rFonts w:hint="default"/>
        </w:rPr>
      </w:pPr>
      <w:r>
        <w:t>（2）大写金额和小写金额不一致的，以大写金额为准；</w:t>
      </w:r>
    </w:p>
    <w:p w14:paraId="64AEC191">
      <w:pPr>
        <w:pStyle w:val="19"/>
        <w:spacing w:line="360" w:lineRule="auto"/>
        <w:ind w:firstLine="480"/>
        <w:rPr>
          <w:rFonts w:hint="default"/>
        </w:rPr>
      </w:pPr>
      <w:r>
        <w:t>（3）单价金额小数点或者百分比有明显错位的，以报价一览表的总价为准，并修改单价；</w:t>
      </w:r>
    </w:p>
    <w:p w14:paraId="1F44C42D">
      <w:pPr>
        <w:pStyle w:val="19"/>
        <w:spacing w:line="360" w:lineRule="auto"/>
        <w:ind w:firstLine="480"/>
        <w:rPr>
          <w:rFonts w:hint="default"/>
        </w:rPr>
      </w:pPr>
      <w:r>
        <w:t>（4）总价金额与按单价汇总金额不一致的，以单价金额计算结果为准。但是单价金额计算结果超过预算价的，对其按无效响应处理；</w:t>
      </w:r>
    </w:p>
    <w:p w14:paraId="2C26A66D">
      <w:pPr>
        <w:pStyle w:val="19"/>
        <w:spacing w:line="360" w:lineRule="auto"/>
        <w:ind w:firstLine="480"/>
        <w:rPr>
          <w:rFonts w:hint="default"/>
        </w:rPr>
      </w:pPr>
      <w:r>
        <w:t>（5）若投标客户端上传的电子报价数据与电子响应文件价格不一致的，以电子报价数据为准。</w:t>
      </w:r>
    </w:p>
    <w:p w14:paraId="61CB604A">
      <w:pPr>
        <w:pStyle w:val="19"/>
        <w:spacing w:line="360" w:lineRule="auto"/>
        <w:ind w:firstLine="480"/>
        <w:rPr>
          <w:rFonts w:hint="default"/>
        </w:rPr>
      </w:pPr>
      <w:r>
        <w:t>注：同时出现两种以上不一致的，按照前款规定的顺序在系统上进行价格澄清。澄清后的价格加盖电子印章确认后产生约束力，但不得超出响应文件的范围或者改变响应文件的实质性内容，供应商不确认的，其响应无效。</w:t>
      </w:r>
    </w:p>
    <w:p w14:paraId="4C003F13">
      <w:pPr>
        <w:pStyle w:val="19"/>
        <w:spacing w:line="360" w:lineRule="auto"/>
        <w:rPr>
          <w:rFonts w:hint="default"/>
        </w:rPr>
      </w:pPr>
      <w:r>
        <w:rPr>
          <w:rFonts w:hint="eastAsia"/>
          <w:b/>
          <w:sz w:val="28"/>
          <w:lang w:val="en-US" w:eastAsia="zh-CN"/>
        </w:rPr>
        <w:t>二</w:t>
      </w:r>
      <w:r>
        <w:rPr>
          <w:b/>
          <w:sz w:val="28"/>
        </w:rPr>
        <w:t>、评审程序</w:t>
      </w:r>
    </w:p>
    <w:p w14:paraId="40809E6F">
      <w:pPr>
        <w:pStyle w:val="19"/>
        <w:spacing w:line="360" w:lineRule="auto"/>
        <w:rPr>
          <w:rFonts w:hint="default"/>
        </w:rPr>
      </w:pPr>
      <w:r>
        <w:rPr>
          <w:b/>
          <w:sz w:val="24"/>
        </w:rPr>
        <w:t>1.资格性审查和符合性审查</w:t>
      </w:r>
    </w:p>
    <w:p w14:paraId="214ADCB2">
      <w:pPr>
        <w:pStyle w:val="19"/>
        <w:spacing w:line="360" w:lineRule="auto"/>
        <w:ind w:firstLine="480"/>
        <w:rPr>
          <w:rFonts w:hint="default"/>
        </w:rPr>
      </w:pPr>
      <w:r>
        <w:t>资格性审查。询价小组应当依法对供应商的资格进行审查，以确定供应商是否具备响应资格。（详见后附表一资格性审查表）</w:t>
      </w:r>
    </w:p>
    <w:p w14:paraId="5001605F">
      <w:pPr>
        <w:pStyle w:val="19"/>
        <w:spacing w:line="360" w:lineRule="auto"/>
        <w:ind w:firstLine="480"/>
        <w:rPr>
          <w:rFonts w:hint="default"/>
        </w:rPr>
      </w:pPr>
      <w:r>
        <w:t>符合性审查。询价小组依据询价通知书的规定，从响应文件的有效性、完整性和对询价通知书的响应程度进行审查，以确定是否对询价通知书的实质性要求作出响应。（详见后附表二符合性审查表）</w:t>
      </w:r>
    </w:p>
    <w:p w14:paraId="5FDAEFD5">
      <w:pPr>
        <w:pStyle w:val="19"/>
        <w:spacing w:line="360" w:lineRule="auto"/>
        <w:ind w:firstLine="480"/>
        <w:rPr>
          <w:rFonts w:hint="default"/>
        </w:rPr>
      </w:pPr>
      <w:r>
        <w:t>资格性审查和符合性审查中凡有其中任意一项未通过的，评审结果为未通过，未通过资格性审查、符合性审查的供应商按无效响应处理。</w:t>
      </w:r>
    </w:p>
    <w:p w14:paraId="55D86F0D">
      <w:pPr>
        <w:pStyle w:val="19"/>
        <w:spacing w:line="360" w:lineRule="auto"/>
        <w:ind w:firstLine="480"/>
        <w:rPr>
          <w:rFonts w:hint="default"/>
        </w:rPr>
      </w:pPr>
      <w:r>
        <w:t>询价小组认为供应商的报价明显低于其他通过符合性审查供应商的报价，有可能影响产品质量或者不能诚信履约的，应当要求其在合理的时间内提供说明，必要时提交相关证明材料；供应商不能证明其报价合理性的，询价小组应当将其作为无效响应处理。</w:t>
      </w:r>
    </w:p>
    <w:p w14:paraId="6B2919DD">
      <w:pPr>
        <w:pStyle w:val="19"/>
        <w:spacing w:line="360" w:lineRule="auto"/>
        <w:ind w:firstLine="480"/>
        <w:rPr>
          <w:rFonts w:hint="default"/>
        </w:rPr>
      </w:pPr>
      <w:r>
        <w:t>合格供应商不足3家的，不得评审。</w:t>
      </w:r>
    </w:p>
    <w:p w14:paraId="74F43565">
      <w:pPr>
        <w:pStyle w:val="19"/>
        <w:spacing w:line="360" w:lineRule="auto"/>
        <w:ind w:firstLine="482"/>
        <w:outlineLvl w:val="1"/>
        <w:rPr>
          <w:rFonts w:hint="default"/>
        </w:rPr>
      </w:pPr>
      <w:bookmarkStart w:id="3" w:name="_Toc181637023"/>
      <w:r>
        <w:t>表一资格性审查表：</w:t>
      </w:r>
      <w:bookmarkEnd w:id="3"/>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1628"/>
        <w:gridCol w:w="5788"/>
      </w:tblGrid>
      <w:tr w14:paraId="51BE70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57B149BE">
            <w:pPr>
              <w:pStyle w:val="19"/>
              <w:spacing w:line="276" w:lineRule="auto"/>
              <w:jc w:val="center"/>
              <w:rPr>
                <w:rFonts w:hint="default"/>
              </w:rPr>
            </w:pPr>
            <w:r>
              <w:t>序号</w:t>
            </w:r>
          </w:p>
        </w:tc>
        <w:tc>
          <w:tcPr>
            <w:tcW w:w="7416" w:type="dxa"/>
            <w:gridSpan w:val="2"/>
            <w:vAlign w:val="center"/>
          </w:tcPr>
          <w:p w14:paraId="4766E726">
            <w:pPr>
              <w:pStyle w:val="19"/>
              <w:spacing w:line="276" w:lineRule="auto"/>
              <w:jc w:val="center"/>
              <w:rPr>
                <w:rFonts w:hint="default"/>
              </w:rPr>
            </w:pPr>
            <w:r>
              <w:t>资格审查内容</w:t>
            </w:r>
          </w:p>
        </w:tc>
      </w:tr>
      <w:tr w14:paraId="04CB6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11F19417">
            <w:pPr>
              <w:pStyle w:val="19"/>
              <w:spacing w:line="276" w:lineRule="auto"/>
              <w:jc w:val="center"/>
              <w:rPr>
                <w:rFonts w:hint="default"/>
              </w:rPr>
            </w:pPr>
            <w:r>
              <w:t>1</w:t>
            </w:r>
          </w:p>
        </w:tc>
        <w:tc>
          <w:tcPr>
            <w:tcW w:w="1628" w:type="dxa"/>
            <w:vAlign w:val="center"/>
          </w:tcPr>
          <w:p w14:paraId="7BCB0447">
            <w:pPr>
              <w:pStyle w:val="19"/>
              <w:spacing w:line="276" w:lineRule="auto"/>
              <w:jc w:val="both"/>
              <w:rPr>
                <w:rFonts w:hint="default"/>
              </w:rPr>
            </w:pPr>
            <w:r>
              <w:t>具有独立承担民事责任的能力</w:t>
            </w:r>
          </w:p>
        </w:tc>
        <w:tc>
          <w:tcPr>
            <w:tcW w:w="5788" w:type="dxa"/>
            <w:vAlign w:val="center"/>
          </w:tcPr>
          <w:p w14:paraId="36701466">
            <w:pPr>
              <w:pStyle w:val="19"/>
              <w:spacing w:line="276" w:lineRule="auto"/>
              <w:jc w:val="both"/>
              <w:rPr>
                <w:rFonts w:hint="default"/>
              </w:rPr>
            </w:pPr>
            <w: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14:paraId="3BF6D3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50540201">
            <w:pPr>
              <w:pStyle w:val="19"/>
              <w:spacing w:line="276" w:lineRule="auto"/>
              <w:jc w:val="center"/>
              <w:rPr>
                <w:rFonts w:hint="eastAsia" w:eastAsiaTheme="minorEastAsia"/>
                <w:lang w:eastAsia="zh-CN"/>
              </w:rPr>
            </w:pPr>
            <w:r>
              <w:rPr>
                <w:rFonts w:hint="eastAsia"/>
                <w:lang w:val="en-US" w:eastAsia="zh-CN"/>
              </w:rPr>
              <w:t>2</w:t>
            </w:r>
          </w:p>
        </w:tc>
        <w:tc>
          <w:tcPr>
            <w:tcW w:w="1628" w:type="dxa"/>
            <w:vAlign w:val="center"/>
          </w:tcPr>
          <w:p w14:paraId="41DDBBC7">
            <w:pPr>
              <w:pStyle w:val="19"/>
              <w:spacing w:line="276" w:lineRule="auto"/>
              <w:jc w:val="both"/>
              <w:rPr>
                <w:rFonts w:hint="default"/>
              </w:rPr>
            </w:pPr>
            <w:r>
              <w:t>供应商必须符合法律、行政法规规定的其他条件</w:t>
            </w:r>
          </w:p>
        </w:tc>
        <w:tc>
          <w:tcPr>
            <w:tcW w:w="5788" w:type="dxa"/>
            <w:vAlign w:val="center"/>
          </w:tcPr>
          <w:p w14:paraId="72798BD8">
            <w:pPr>
              <w:pStyle w:val="19"/>
              <w:spacing w:line="276" w:lineRule="auto"/>
              <w:jc w:val="both"/>
              <w:rPr>
                <w:rFonts w:hint="default"/>
              </w:rPr>
            </w:pPr>
            <w:r>
              <w:t>单位负责人为同一人或者存在直接控股、 管理关系的不同供应商，不得同时参加本采购项目（或采购包）投标（响应）。为本项目提供整体设计、规范编制或者项目管理、监理、检测等服务的供应商，不得再参与本项目投标（响应）。响应承诺函相关承诺要求内容。</w:t>
            </w:r>
          </w:p>
        </w:tc>
      </w:tr>
      <w:tr w14:paraId="0E14DA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07191307">
            <w:pPr>
              <w:pStyle w:val="19"/>
              <w:spacing w:line="276" w:lineRule="auto"/>
              <w:jc w:val="center"/>
              <w:rPr>
                <w:rFonts w:hint="eastAsia" w:eastAsiaTheme="minorEastAsia"/>
                <w:lang w:eastAsia="zh-CN"/>
              </w:rPr>
            </w:pPr>
            <w:r>
              <w:rPr>
                <w:rFonts w:hint="eastAsia"/>
                <w:lang w:val="en-US" w:eastAsia="zh-CN"/>
              </w:rPr>
              <w:t>3</w:t>
            </w:r>
          </w:p>
        </w:tc>
        <w:tc>
          <w:tcPr>
            <w:tcW w:w="1628" w:type="dxa"/>
            <w:vAlign w:val="center"/>
          </w:tcPr>
          <w:p w14:paraId="67FBA9A4">
            <w:pPr>
              <w:pStyle w:val="19"/>
              <w:spacing w:line="276" w:lineRule="auto"/>
              <w:jc w:val="both"/>
              <w:rPr>
                <w:rFonts w:hint="default"/>
              </w:rPr>
            </w:pPr>
            <w:r>
              <w:rPr>
                <w:lang w:eastAsia="zh-CN"/>
              </w:rPr>
              <w:t>企业</w:t>
            </w:r>
            <w:r>
              <w:t>资质</w:t>
            </w:r>
          </w:p>
        </w:tc>
        <w:tc>
          <w:tcPr>
            <w:tcW w:w="5788" w:type="dxa"/>
            <w:vAlign w:val="center"/>
          </w:tcPr>
          <w:p w14:paraId="3CA7D7F6">
            <w:pPr>
              <w:pStyle w:val="19"/>
              <w:spacing w:line="276" w:lineRule="auto"/>
              <w:jc w:val="both"/>
              <w:rPr>
                <w:rFonts w:hint="default"/>
              </w:rPr>
            </w:pPr>
            <w:r>
              <w:t>具有有效的《</w:t>
            </w:r>
            <w:r>
              <w:rPr>
                <w:rFonts w:hint="eastAsia"/>
                <w:lang w:val="en-US" w:eastAsia="zh-CN"/>
              </w:rPr>
              <w:t>医疗器械生产许可证</w:t>
            </w:r>
            <w:r>
              <w:t>》或《</w:t>
            </w:r>
            <w:r>
              <w:rPr>
                <w:rFonts w:hint="eastAsia"/>
                <w:lang w:val="en-US" w:eastAsia="zh-CN"/>
              </w:rPr>
              <w:t>医疗器械经营许可证</w:t>
            </w:r>
            <w:r>
              <w:t>》。</w:t>
            </w:r>
          </w:p>
        </w:tc>
      </w:tr>
      <w:tr w14:paraId="762CAA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63E49140">
            <w:pPr>
              <w:pStyle w:val="19"/>
              <w:spacing w:line="276" w:lineRule="auto"/>
              <w:jc w:val="center"/>
              <w:rPr>
                <w:rFonts w:hint="default"/>
                <w:lang w:eastAsia="zh-CN"/>
              </w:rPr>
            </w:pPr>
            <w:r>
              <w:rPr>
                <w:rFonts w:hint="eastAsia"/>
                <w:lang w:val="en-US" w:eastAsia="zh-CN"/>
              </w:rPr>
              <w:t>4</w:t>
            </w:r>
          </w:p>
        </w:tc>
        <w:tc>
          <w:tcPr>
            <w:tcW w:w="1628" w:type="dxa"/>
            <w:vAlign w:val="center"/>
          </w:tcPr>
          <w:p w14:paraId="52A542F4">
            <w:pPr>
              <w:pStyle w:val="19"/>
              <w:spacing w:line="276" w:lineRule="auto"/>
              <w:jc w:val="both"/>
              <w:rPr>
                <w:rFonts w:hint="default"/>
              </w:rPr>
            </w:pPr>
            <w:r>
              <w:rPr>
                <w:rFonts w:ascii="宋体" w:hAnsi="宋体" w:eastAsia="宋体" w:cs="宋体"/>
                <w:sz w:val="21"/>
                <w:szCs w:val="21"/>
                <w:lang w:eastAsia="zh-CN"/>
              </w:rPr>
              <w:t>是否</w:t>
            </w:r>
            <w:r>
              <w:rPr>
                <w:rFonts w:ascii="宋体" w:hAnsi="宋体" w:eastAsia="宋体" w:cs="宋体"/>
                <w:sz w:val="21"/>
                <w:szCs w:val="21"/>
              </w:rPr>
              <w:t>允许联合体投标。</w:t>
            </w:r>
          </w:p>
        </w:tc>
        <w:tc>
          <w:tcPr>
            <w:tcW w:w="5788" w:type="dxa"/>
            <w:vAlign w:val="center"/>
          </w:tcPr>
          <w:p w14:paraId="29066A67">
            <w:pPr>
              <w:pStyle w:val="19"/>
              <w:spacing w:line="276" w:lineRule="auto"/>
              <w:jc w:val="both"/>
              <w:rPr>
                <w:rFonts w:hint="default" w:ascii="Helvetica" w:hAnsi="Helvetica" w:cs="宋体"/>
                <w:szCs w:val="21"/>
              </w:rPr>
            </w:pPr>
            <w:r>
              <w:rPr>
                <w:rFonts w:ascii="宋体" w:hAnsi="宋体" w:eastAsia="宋体" w:cs="宋体"/>
                <w:sz w:val="21"/>
                <w:szCs w:val="21"/>
              </w:rPr>
              <w:t>本项目不允许联合体投标。</w:t>
            </w:r>
          </w:p>
        </w:tc>
      </w:tr>
      <w:tr w14:paraId="3367BA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5521DD5F">
            <w:pPr>
              <w:pStyle w:val="19"/>
              <w:spacing w:line="276" w:lineRule="auto"/>
              <w:jc w:val="center"/>
              <w:rPr>
                <w:rFonts w:hint="default"/>
                <w:lang w:val="en-US" w:eastAsia="zh-CN"/>
              </w:rPr>
            </w:pPr>
            <w:r>
              <w:rPr>
                <w:rFonts w:hint="eastAsia"/>
                <w:lang w:val="en-US" w:eastAsia="zh-CN"/>
              </w:rPr>
              <w:t>5</w:t>
            </w:r>
          </w:p>
        </w:tc>
        <w:tc>
          <w:tcPr>
            <w:tcW w:w="1628" w:type="dxa"/>
            <w:vAlign w:val="center"/>
          </w:tcPr>
          <w:p w14:paraId="24995407">
            <w:pPr>
              <w:pStyle w:val="19"/>
              <w:spacing w:line="276" w:lineRule="auto"/>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未被列入我院供应商黑名单</w:t>
            </w:r>
          </w:p>
        </w:tc>
        <w:tc>
          <w:tcPr>
            <w:tcW w:w="5788" w:type="dxa"/>
            <w:vAlign w:val="center"/>
          </w:tcPr>
          <w:p w14:paraId="563207FD">
            <w:pPr>
              <w:pStyle w:val="19"/>
              <w:spacing w:line="276" w:lineRule="auto"/>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列入我院黑名单供应商不允许参与</w:t>
            </w:r>
          </w:p>
        </w:tc>
      </w:tr>
    </w:tbl>
    <w:p w14:paraId="6ABD9895">
      <w:pPr>
        <w:pStyle w:val="19"/>
        <w:spacing w:line="360" w:lineRule="auto"/>
        <w:rPr>
          <w:rFonts w:hint="default"/>
        </w:rPr>
      </w:pPr>
    </w:p>
    <w:p w14:paraId="75967B18">
      <w:pPr>
        <w:pStyle w:val="19"/>
        <w:spacing w:line="360" w:lineRule="auto"/>
        <w:ind w:firstLine="482"/>
        <w:outlineLvl w:val="1"/>
        <w:rPr>
          <w:rFonts w:hint="default"/>
        </w:rPr>
      </w:pPr>
      <w:bookmarkStart w:id="4" w:name="_Toc181637024"/>
      <w:r>
        <w:t>表二符合性审查表：</w:t>
      </w:r>
      <w:bookmarkEnd w:id="4"/>
      <w:r>
        <w:t>：</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1770"/>
        <w:gridCol w:w="5646"/>
      </w:tblGrid>
      <w:tr w14:paraId="5E24BE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28FD4E37">
            <w:pPr>
              <w:pStyle w:val="19"/>
              <w:spacing w:line="276" w:lineRule="auto"/>
              <w:jc w:val="center"/>
              <w:rPr>
                <w:rFonts w:hint="default"/>
              </w:rPr>
            </w:pPr>
            <w:r>
              <w:t>序号</w:t>
            </w:r>
          </w:p>
        </w:tc>
        <w:tc>
          <w:tcPr>
            <w:tcW w:w="1770" w:type="dxa"/>
            <w:vAlign w:val="center"/>
          </w:tcPr>
          <w:p w14:paraId="18AE6F9F">
            <w:pPr>
              <w:pStyle w:val="19"/>
              <w:spacing w:line="276" w:lineRule="auto"/>
              <w:jc w:val="center"/>
              <w:rPr>
                <w:rFonts w:hint="default"/>
              </w:rPr>
            </w:pPr>
            <w:r>
              <w:t>评审点要求概况</w:t>
            </w:r>
          </w:p>
        </w:tc>
        <w:tc>
          <w:tcPr>
            <w:tcW w:w="5646" w:type="dxa"/>
            <w:vAlign w:val="center"/>
          </w:tcPr>
          <w:p w14:paraId="76FCDFDB">
            <w:pPr>
              <w:pStyle w:val="19"/>
              <w:spacing w:line="276" w:lineRule="auto"/>
              <w:jc w:val="center"/>
              <w:rPr>
                <w:rFonts w:hint="default"/>
              </w:rPr>
            </w:pPr>
            <w:r>
              <w:t>评审点具体描述</w:t>
            </w:r>
          </w:p>
        </w:tc>
      </w:tr>
      <w:tr w14:paraId="416EB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429EF5A5">
            <w:pPr>
              <w:pStyle w:val="19"/>
              <w:spacing w:line="276" w:lineRule="auto"/>
              <w:jc w:val="center"/>
              <w:rPr>
                <w:rFonts w:hint="default"/>
              </w:rPr>
            </w:pPr>
            <w:r>
              <w:t>1</w:t>
            </w:r>
          </w:p>
        </w:tc>
        <w:tc>
          <w:tcPr>
            <w:tcW w:w="1770" w:type="dxa"/>
            <w:vAlign w:val="center"/>
          </w:tcPr>
          <w:p w14:paraId="674285DE">
            <w:pPr>
              <w:pStyle w:val="19"/>
              <w:spacing w:line="276" w:lineRule="auto"/>
              <w:jc w:val="both"/>
              <w:rPr>
                <w:rFonts w:hint="default"/>
              </w:rPr>
            </w:pPr>
            <w:r>
              <w:rPr>
                <w:rFonts w:ascii="宋体" w:hAnsi="宋体" w:eastAsia="宋体" w:cs="宋体"/>
                <w:sz w:val="21"/>
                <w:szCs w:val="21"/>
              </w:rPr>
              <w:t>报价有效期</w:t>
            </w:r>
          </w:p>
        </w:tc>
        <w:tc>
          <w:tcPr>
            <w:tcW w:w="5646" w:type="dxa"/>
            <w:vAlign w:val="center"/>
          </w:tcPr>
          <w:p w14:paraId="7E16880F">
            <w:pPr>
              <w:pStyle w:val="19"/>
              <w:spacing w:line="276" w:lineRule="auto"/>
              <w:jc w:val="both"/>
              <w:rPr>
                <w:rFonts w:hint="default"/>
              </w:rPr>
            </w:pPr>
            <w:r>
              <w:rPr>
                <w:rFonts w:ascii="宋体" w:hAnsi="宋体" w:eastAsia="宋体" w:cs="宋体"/>
                <w:sz w:val="21"/>
                <w:szCs w:val="21"/>
              </w:rPr>
              <w:t>报价有效期是否符合要求</w:t>
            </w:r>
          </w:p>
        </w:tc>
      </w:tr>
      <w:tr w14:paraId="5F9551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4F3C0B4E">
            <w:pPr>
              <w:pStyle w:val="19"/>
              <w:spacing w:line="276" w:lineRule="auto"/>
              <w:jc w:val="center"/>
              <w:rPr>
                <w:rFonts w:hint="default"/>
              </w:rPr>
            </w:pPr>
            <w:r>
              <w:t>2</w:t>
            </w:r>
          </w:p>
        </w:tc>
        <w:tc>
          <w:tcPr>
            <w:tcW w:w="1770" w:type="dxa"/>
            <w:vAlign w:val="center"/>
          </w:tcPr>
          <w:p w14:paraId="4D8A934A">
            <w:pPr>
              <w:pStyle w:val="19"/>
              <w:spacing w:line="276" w:lineRule="auto"/>
              <w:jc w:val="both"/>
              <w:rPr>
                <w:rFonts w:hint="default"/>
              </w:rPr>
            </w:pPr>
            <w:r>
              <w:rPr>
                <w:rFonts w:ascii="宋体" w:hAnsi="宋体" w:eastAsia="宋体" w:cs="宋体"/>
                <w:sz w:val="21"/>
                <w:szCs w:val="21"/>
              </w:rPr>
              <w:t>报价文件式样和签署</w:t>
            </w:r>
          </w:p>
        </w:tc>
        <w:tc>
          <w:tcPr>
            <w:tcW w:w="5646" w:type="dxa"/>
            <w:vAlign w:val="center"/>
          </w:tcPr>
          <w:p w14:paraId="5841638F">
            <w:pPr>
              <w:pStyle w:val="19"/>
              <w:spacing w:line="276" w:lineRule="auto"/>
              <w:jc w:val="both"/>
              <w:rPr>
                <w:rFonts w:hint="default"/>
              </w:rPr>
            </w:pPr>
            <w:r>
              <w:rPr>
                <w:rFonts w:ascii="宋体" w:hAnsi="宋体" w:eastAsia="宋体" w:cs="宋体"/>
                <w:sz w:val="21"/>
                <w:szCs w:val="21"/>
              </w:rPr>
              <w:t>报价文件符合采购文件的式样和签署要求</w:t>
            </w:r>
          </w:p>
        </w:tc>
      </w:tr>
      <w:tr w14:paraId="562712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7E625CD9">
            <w:pPr>
              <w:pStyle w:val="19"/>
              <w:spacing w:line="276" w:lineRule="auto"/>
              <w:jc w:val="center"/>
              <w:rPr>
                <w:rFonts w:hint="default"/>
              </w:rPr>
            </w:pPr>
            <w:r>
              <w:t>3</w:t>
            </w:r>
          </w:p>
        </w:tc>
        <w:tc>
          <w:tcPr>
            <w:tcW w:w="1770" w:type="dxa"/>
            <w:vAlign w:val="center"/>
          </w:tcPr>
          <w:p w14:paraId="1E90FA41">
            <w:pPr>
              <w:pStyle w:val="19"/>
              <w:spacing w:line="276" w:lineRule="auto"/>
              <w:jc w:val="both"/>
              <w:rPr>
                <w:rFonts w:hint="default"/>
              </w:rPr>
            </w:pPr>
            <w:r>
              <w:rPr>
                <w:rFonts w:ascii="宋体" w:hAnsi="宋体" w:eastAsia="宋体" w:cs="宋体"/>
                <w:sz w:val="21"/>
                <w:szCs w:val="21"/>
              </w:rPr>
              <w:t>报价文件实质性响应采购文件要求</w:t>
            </w:r>
          </w:p>
        </w:tc>
        <w:tc>
          <w:tcPr>
            <w:tcW w:w="5646" w:type="dxa"/>
            <w:vAlign w:val="center"/>
          </w:tcPr>
          <w:p w14:paraId="3ADD482F">
            <w:pPr>
              <w:pStyle w:val="19"/>
              <w:spacing w:line="276" w:lineRule="auto"/>
              <w:jc w:val="both"/>
              <w:rPr>
                <w:rFonts w:hint="default"/>
              </w:rPr>
            </w:pPr>
            <w:r>
              <w:rPr>
                <w:rFonts w:ascii="宋体" w:hAnsi="宋体" w:eastAsia="宋体" w:cs="宋体"/>
                <w:sz w:val="21"/>
                <w:szCs w:val="21"/>
              </w:rPr>
              <w:t>报价文件实质性响应招标文件★号条款，且无经评委认定为无效标的</w:t>
            </w:r>
            <w:r>
              <w:rPr>
                <w:rFonts w:hint="eastAsia" w:ascii="宋体" w:hAnsi="宋体" w:eastAsia="宋体" w:cs="宋体"/>
                <w:sz w:val="21"/>
                <w:szCs w:val="21"/>
                <w:lang w:val="en-US" w:eastAsia="zh-CN"/>
              </w:rPr>
              <w:t>或虚假响应的</w:t>
            </w:r>
            <w:r>
              <w:rPr>
                <w:rFonts w:ascii="宋体" w:hAnsi="宋体" w:eastAsia="宋体" w:cs="宋体"/>
                <w:sz w:val="21"/>
                <w:szCs w:val="21"/>
              </w:rPr>
              <w:t>内容和条款</w:t>
            </w:r>
            <w:bookmarkStart w:id="5" w:name="_GoBack"/>
            <w:bookmarkEnd w:id="5"/>
          </w:p>
        </w:tc>
      </w:tr>
      <w:tr w14:paraId="0543BA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33F35580">
            <w:pPr>
              <w:pStyle w:val="19"/>
              <w:spacing w:line="276" w:lineRule="auto"/>
              <w:jc w:val="center"/>
              <w:rPr>
                <w:rFonts w:hint="default"/>
              </w:rPr>
            </w:pPr>
            <w:r>
              <w:t>4</w:t>
            </w:r>
          </w:p>
        </w:tc>
        <w:tc>
          <w:tcPr>
            <w:tcW w:w="1770" w:type="dxa"/>
            <w:vAlign w:val="center"/>
          </w:tcPr>
          <w:p w14:paraId="1923D0D7">
            <w:pPr>
              <w:pStyle w:val="19"/>
              <w:spacing w:line="276" w:lineRule="auto"/>
              <w:jc w:val="both"/>
              <w:rPr>
                <w:rFonts w:hint="default"/>
              </w:rPr>
            </w:pPr>
            <w:r>
              <w:rPr>
                <w:rFonts w:ascii="宋体" w:hAnsi="宋体" w:eastAsia="宋体" w:cs="宋体"/>
                <w:sz w:val="21"/>
                <w:szCs w:val="21"/>
              </w:rPr>
              <w:t>报价情况</w:t>
            </w:r>
          </w:p>
        </w:tc>
        <w:tc>
          <w:tcPr>
            <w:tcW w:w="5646" w:type="dxa"/>
            <w:vAlign w:val="center"/>
          </w:tcPr>
          <w:p w14:paraId="0E0F8A92">
            <w:pPr>
              <w:pStyle w:val="19"/>
              <w:spacing w:line="276" w:lineRule="auto"/>
              <w:jc w:val="both"/>
              <w:rPr>
                <w:rFonts w:hint="default"/>
              </w:rPr>
            </w:pPr>
            <w:r>
              <w:rPr>
                <w:rFonts w:ascii="宋体" w:hAnsi="宋体" w:eastAsia="宋体" w:cs="宋体"/>
                <w:sz w:val="21"/>
                <w:szCs w:val="21"/>
              </w:rPr>
              <w:t>报价没有超出采购预算或</w:t>
            </w:r>
            <w:r>
              <w:rPr>
                <w:rFonts w:hint="eastAsia" w:ascii="宋体" w:hAnsi="宋体" w:eastAsia="宋体" w:cs="宋体"/>
                <w:sz w:val="21"/>
                <w:szCs w:val="21"/>
                <w:lang w:val="en-US" w:eastAsia="zh-CN"/>
              </w:rPr>
              <w:t>低于市场合理成本价格</w:t>
            </w:r>
          </w:p>
        </w:tc>
      </w:tr>
    </w:tbl>
    <w:p w14:paraId="0B436201">
      <w:pPr>
        <w:pStyle w:val="19"/>
        <w:spacing w:line="360" w:lineRule="auto"/>
        <w:rPr>
          <w:rFonts w:hint="default"/>
        </w:rPr>
      </w:pPr>
      <w:r>
        <w:rPr>
          <w:rFonts w:hint="eastAsia"/>
          <w:b/>
          <w:sz w:val="24"/>
          <w:lang w:val="en-US" w:eastAsia="zh-CN"/>
        </w:rPr>
        <w:t>2</w:t>
      </w:r>
      <w:r>
        <w:rPr>
          <w:b/>
          <w:sz w:val="24"/>
        </w:rPr>
        <w:t>.询价</w:t>
      </w:r>
    </w:p>
    <w:p w14:paraId="33137963">
      <w:pPr>
        <w:pStyle w:val="19"/>
        <w:spacing w:line="360" w:lineRule="auto"/>
        <w:ind w:firstLine="480"/>
        <w:rPr>
          <w:rFonts w:hint="default"/>
        </w:rPr>
      </w:pPr>
      <w:r>
        <w:rPr>
          <w:rFonts w:hint="eastAsia"/>
          <w:lang w:eastAsia="zh-CN"/>
        </w:rPr>
        <w:t>（</w:t>
      </w:r>
      <w:r>
        <w:rPr>
          <w:rFonts w:hint="eastAsia"/>
          <w:lang w:val="en-US" w:eastAsia="zh-CN"/>
        </w:rPr>
        <w:t>1</w:t>
      </w:r>
      <w:r>
        <w:rPr>
          <w:rFonts w:hint="eastAsia"/>
          <w:lang w:eastAsia="zh-CN"/>
        </w:rPr>
        <w:t>）</w:t>
      </w:r>
      <w:r>
        <w:t>询价小组在询价过程中，不得改变询价通知书所确定的技术和服务等要求、评审程序、评定成交的标准和合同文本等事项。</w:t>
      </w:r>
    </w:p>
    <w:p w14:paraId="0D248736">
      <w:pPr>
        <w:pStyle w:val="19"/>
        <w:spacing w:line="360" w:lineRule="auto"/>
        <w:ind w:firstLine="480"/>
        <w:rPr>
          <w:rFonts w:hint="default"/>
        </w:rPr>
      </w:pPr>
      <w:r>
        <w:rPr>
          <w:rFonts w:hint="eastAsia"/>
          <w:lang w:eastAsia="zh-CN"/>
        </w:rPr>
        <w:t>（</w:t>
      </w:r>
      <w:r>
        <w:rPr>
          <w:rFonts w:hint="eastAsia"/>
          <w:lang w:val="en-US" w:eastAsia="zh-CN"/>
        </w:rPr>
        <w:t>2</w:t>
      </w:r>
      <w:r>
        <w:rPr>
          <w:rFonts w:hint="eastAsia"/>
          <w:lang w:eastAsia="zh-CN"/>
        </w:rPr>
        <w:t>）</w:t>
      </w:r>
      <w:r>
        <w:t>参加询价采购活动的供应商，应当按照询价通知书的规定一次报出不得更改的价格（报价以响应文件“报价表”中所报价格为准）。询价小组进行价格比较。</w:t>
      </w:r>
    </w:p>
    <w:p w14:paraId="4D63D797">
      <w:pPr>
        <w:pStyle w:val="19"/>
        <w:spacing w:line="360" w:lineRule="auto"/>
        <w:rPr>
          <w:rFonts w:hint="default"/>
        </w:rPr>
      </w:pPr>
      <w:r>
        <w:rPr>
          <w:b/>
          <w:sz w:val="24"/>
        </w:rPr>
        <w:t>4.推荐成交候选供应商</w:t>
      </w:r>
    </w:p>
    <w:p w14:paraId="0A52A5CF">
      <w:pPr>
        <w:pStyle w:val="19"/>
        <w:spacing w:line="360" w:lineRule="auto"/>
        <w:ind w:firstLine="480"/>
        <w:rPr>
          <w:rFonts w:hint="default"/>
        </w:rPr>
      </w:pPr>
      <w:r>
        <w:t>询价小组应当从质量和服务均能满足采购文件实质性响应要求的供应商中，按照报价由低到高的顺序提出3名以上成交候选供应商，</w:t>
      </w:r>
      <w:r>
        <w:rPr>
          <w:rFonts w:hint="eastAsia"/>
          <w:lang w:val="en-US" w:eastAsia="zh-CN"/>
        </w:rPr>
        <w:t>如最低价格相同，则采取不记名投票的方式，得票数最多的供应商为排名第一，</w:t>
      </w:r>
      <w:r>
        <w:t>并编写评审报告。</w:t>
      </w:r>
    </w:p>
    <w:p w14:paraId="1FAFA388">
      <w:pPr>
        <w:pStyle w:val="19"/>
        <w:spacing w:line="360" w:lineRule="auto"/>
        <w:rPr>
          <w:rFonts w:hint="default"/>
        </w:rPr>
      </w:pPr>
      <w:r>
        <w:rPr>
          <w:b/>
          <w:sz w:val="24"/>
        </w:rPr>
        <w:t>5.项目采购失败的处理</w:t>
      </w:r>
    </w:p>
    <w:p w14:paraId="30216E20">
      <w:pPr>
        <w:pStyle w:val="19"/>
        <w:spacing w:line="360" w:lineRule="auto"/>
        <w:ind w:firstLine="480"/>
        <w:rPr>
          <w:rFonts w:hint="default"/>
        </w:rPr>
      </w:pPr>
      <w:r>
        <w:t>出现下列情况将作采购失败处理：</w:t>
      </w:r>
    </w:p>
    <w:p w14:paraId="0D8A93AD">
      <w:pPr>
        <w:pStyle w:val="19"/>
        <w:spacing w:line="360" w:lineRule="auto"/>
        <w:ind w:firstLine="480"/>
        <w:rPr>
          <w:rFonts w:hint="default"/>
        </w:rPr>
      </w:pPr>
      <w:r>
        <w:t>（1）因情况变化，不再符合规定的询价采购方式适用情形的。</w:t>
      </w:r>
    </w:p>
    <w:p w14:paraId="1850035B">
      <w:pPr>
        <w:pStyle w:val="19"/>
        <w:spacing w:line="360" w:lineRule="auto"/>
        <w:ind w:firstLine="480"/>
        <w:rPr>
          <w:rFonts w:hint="default"/>
        </w:rPr>
      </w:pPr>
      <w:r>
        <w:t>（2）询价小组对询价通知书有异议，不同意确认的。</w:t>
      </w:r>
    </w:p>
    <w:p w14:paraId="509D73AE">
      <w:pPr>
        <w:pStyle w:val="19"/>
        <w:spacing w:line="360" w:lineRule="auto"/>
        <w:ind w:firstLine="480"/>
        <w:rPr>
          <w:rFonts w:hint="default"/>
        </w:rPr>
      </w:pPr>
      <w:r>
        <w:t>（3）出现影响采购公正的违法、违规行为的。</w:t>
      </w:r>
    </w:p>
    <w:p w14:paraId="436BA7D6">
      <w:pPr>
        <w:pStyle w:val="19"/>
        <w:spacing w:line="360" w:lineRule="auto"/>
        <w:ind w:firstLine="480"/>
        <w:rPr>
          <w:rFonts w:hint="default"/>
        </w:rPr>
      </w:pPr>
      <w:r>
        <w:t>（4）在采购过程中符合竞争要求的供应商或者报价未超过采购预算的供应商不足3家的。</w:t>
      </w:r>
    </w:p>
    <w:p w14:paraId="14129D7A">
      <w:pPr>
        <w:pStyle w:val="19"/>
        <w:spacing w:line="360" w:lineRule="auto"/>
        <w:ind w:firstLine="480"/>
        <w:rPr>
          <w:rFonts w:hint="default"/>
        </w:rPr>
      </w:pPr>
      <w:r>
        <w:t>（说明：如果多个供应商所投产品全部是同一品牌同一型号的，只作为一个供应商计算；同一品牌不同型号的产品由多家供应商参加竞争，作为不同的供应商计算。）</w:t>
      </w:r>
    </w:p>
    <w:p w14:paraId="293017E8">
      <w:pPr>
        <w:pStyle w:val="19"/>
        <w:spacing w:line="360" w:lineRule="auto"/>
        <w:ind w:firstLine="480"/>
        <w:rPr>
          <w:rFonts w:hint="default"/>
        </w:rPr>
      </w:pPr>
      <w:r>
        <w:t>（5）因重大变故，采购任务取消的。</w:t>
      </w:r>
    </w:p>
    <w:p w14:paraId="7846CC95">
      <w:pPr>
        <w:pStyle w:val="19"/>
        <w:spacing w:line="360" w:lineRule="auto"/>
        <w:rPr>
          <w:rFonts w:hint="default"/>
        </w:rPr>
      </w:pPr>
      <w:r>
        <w:t xml:space="preserve">  </w:t>
      </w:r>
      <w:r>
        <w:rPr>
          <w:rFonts w:hint="default"/>
        </w:rPr>
        <w:br w:type="page"/>
      </w:r>
    </w:p>
    <w:p w14:paraId="0C0780E5">
      <w:pPr>
        <w:pStyle w:val="19"/>
        <w:spacing w:line="360" w:lineRule="auto"/>
        <w:jc w:val="both"/>
        <w:rPr>
          <w:rFonts w:hint="default"/>
          <w:sz w:val="28"/>
          <w:szCs w:val="28"/>
        </w:rPr>
      </w:pPr>
      <w:r>
        <w:rPr>
          <w:b/>
          <w:sz w:val="28"/>
          <w:szCs w:val="28"/>
        </w:rPr>
        <w:t>响应文件封面</w:t>
      </w:r>
    </w:p>
    <w:p w14:paraId="36DC3488">
      <w:pPr>
        <w:tabs>
          <w:tab w:val="left" w:pos="780"/>
        </w:tabs>
        <w:spacing w:line="360" w:lineRule="auto"/>
        <w:ind w:left="3132" w:hanging="3132" w:hangingChars="600"/>
        <w:jc w:val="center"/>
        <w:rPr>
          <w:rFonts w:ascii="宋体" w:hAnsi="宋体" w:cs="宋体"/>
          <w:b/>
          <w:bCs/>
          <w:kern w:val="0"/>
          <w:sz w:val="36"/>
          <w:szCs w:val="36"/>
        </w:rPr>
      </w:pPr>
      <w:r>
        <w:rPr>
          <w:rFonts w:hint="eastAsia" w:ascii="宋体" w:hAnsi="宋体" w:cs="宋体"/>
          <w:b/>
          <w:bCs/>
          <w:kern w:val="0"/>
          <w:sz w:val="52"/>
          <w:szCs w:val="52"/>
        </w:rPr>
        <w:t>广州医科大学附属第五医院</w:t>
      </w:r>
      <w:r>
        <w:rPr>
          <w:rFonts w:hint="eastAsia" w:ascii="宋体" w:hAnsi="宋体" w:cs="宋体"/>
          <w:b/>
          <w:bCs/>
          <w:kern w:val="0"/>
          <w:sz w:val="36"/>
          <w:szCs w:val="36"/>
        </w:rPr>
        <w:t xml:space="preserve"> </w:t>
      </w:r>
    </w:p>
    <w:p w14:paraId="0267DC21">
      <w:pPr>
        <w:tabs>
          <w:tab w:val="left" w:pos="780"/>
        </w:tabs>
        <w:spacing w:line="360" w:lineRule="auto"/>
        <w:ind w:left="3132" w:hanging="3132" w:hangingChars="600"/>
        <w:jc w:val="center"/>
        <w:rPr>
          <w:rFonts w:ascii="宋体" w:hAnsi="宋体" w:cs="宋体"/>
          <w:b/>
          <w:bCs/>
          <w:kern w:val="0"/>
          <w:sz w:val="52"/>
          <w:szCs w:val="52"/>
        </w:rPr>
      </w:pPr>
      <w:r>
        <w:rPr>
          <w:rFonts w:hint="eastAsia" w:ascii="宋体" w:hAnsi="宋体" w:cs="宋体"/>
          <w:b/>
          <w:bCs/>
          <w:kern w:val="0"/>
          <w:sz w:val="52"/>
          <w:szCs w:val="52"/>
        </w:rPr>
        <w:t>设备报价资料</w:t>
      </w:r>
    </w:p>
    <w:p w14:paraId="2BF95A25">
      <w:pPr>
        <w:tabs>
          <w:tab w:val="left" w:pos="780"/>
        </w:tabs>
        <w:spacing w:line="360" w:lineRule="auto"/>
        <w:ind w:left="2650" w:hanging="2650" w:hangingChars="600"/>
        <w:jc w:val="center"/>
        <w:rPr>
          <w:rFonts w:ascii="宋体" w:hAnsi="宋体" w:cs="宋体"/>
          <w:b/>
          <w:bCs/>
          <w:kern w:val="0"/>
          <w:sz w:val="44"/>
          <w:szCs w:val="44"/>
        </w:rPr>
      </w:pPr>
    </w:p>
    <w:p w14:paraId="0F490D48">
      <w:pPr>
        <w:tabs>
          <w:tab w:val="left" w:pos="780"/>
        </w:tabs>
        <w:spacing w:line="360" w:lineRule="auto"/>
        <w:ind w:left="2650" w:hanging="2650" w:hangingChars="600"/>
        <w:jc w:val="center"/>
        <w:rPr>
          <w:rFonts w:ascii="宋体" w:hAnsi="宋体" w:cs="宋体"/>
          <w:b/>
          <w:bCs/>
          <w:kern w:val="0"/>
          <w:sz w:val="44"/>
          <w:szCs w:val="44"/>
        </w:rPr>
      </w:pPr>
    </w:p>
    <w:p w14:paraId="0DD55A24">
      <w:pPr>
        <w:tabs>
          <w:tab w:val="left" w:pos="780"/>
        </w:tabs>
        <w:spacing w:line="360" w:lineRule="auto"/>
        <w:ind w:left="2650" w:hanging="2650" w:hangingChars="600"/>
        <w:jc w:val="center"/>
        <w:rPr>
          <w:rFonts w:ascii="宋体" w:hAnsi="宋体" w:cs="宋体"/>
          <w:b/>
          <w:bCs/>
          <w:kern w:val="0"/>
          <w:sz w:val="44"/>
          <w:szCs w:val="44"/>
        </w:rPr>
      </w:pPr>
    </w:p>
    <w:p w14:paraId="03969BC8">
      <w:pPr>
        <w:tabs>
          <w:tab w:val="left" w:pos="780"/>
        </w:tabs>
        <w:spacing w:line="360" w:lineRule="auto"/>
        <w:ind w:left="2650" w:hanging="2650" w:hangingChars="600"/>
        <w:jc w:val="center"/>
        <w:rPr>
          <w:rFonts w:ascii="宋体" w:hAnsi="宋体" w:cs="宋体"/>
          <w:b/>
          <w:bCs/>
          <w:kern w:val="0"/>
          <w:sz w:val="44"/>
          <w:szCs w:val="44"/>
        </w:rPr>
      </w:pPr>
    </w:p>
    <w:p w14:paraId="30C49B1D">
      <w:pPr>
        <w:tabs>
          <w:tab w:val="left" w:pos="780"/>
        </w:tabs>
        <w:spacing w:line="360" w:lineRule="auto"/>
        <w:ind w:left="2650" w:hanging="2650" w:hangingChars="600"/>
        <w:jc w:val="center"/>
        <w:rPr>
          <w:rFonts w:ascii="宋体" w:hAnsi="宋体" w:cs="宋体"/>
          <w:b/>
          <w:bCs/>
          <w:kern w:val="0"/>
          <w:sz w:val="44"/>
          <w:szCs w:val="44"/>
        </w:rPr>
      </w:pPr>
    </w:p>
    <w:p w14:paraId="7D139367">
      <w:pPr>
        <w:tabs>
          <w:tab w:val="left" w:pos="780"/>
        </w:tabs>
        <w:spacing w:line="360" w:lineRule="auto"/>
        <w:ind w:left="2650" w:hanging="2650" w:hangingChars="600"/>
        <w:jc w:val="center"/>
        <w:rPr>
          <w:rFonts w:ascii="宋体" w:hAnsi="宋体" w:cs="宋体"/>
          <w:b/>
          <w:bCs/>
          <w:kern w:val="0"/>
          <w:sz w:val="44"/>
          <w:szCs w:val="44"/>
        </w:rPr>
      </w:pPr>
    </w:p>
    <w:p w14:paraId="2A1D45B0">
      <w:pPr>
        <w:tabs>
          <w:tab w:val="left" w:pos="780"/>
        </w:tabs>
        <w:spacing w:line="360" w:lineRule="auto"/>
        <w:ind w:left="2650" w:hanging="2650" w:hangingChars="600"/>
        <w:jc w:val="center"/>
        <w:rPr>
          <w:rFonts w:ascii="宋体" w:hAnsi="宋体" w:cs="宋体"/>
          <w:b/>
          <w:bCs/>
          <w:kern w:val="0"/>
          <w:sz w:val="44"/>
          <w:szCs w:val="44"/>
        </w:rPr>
      </w:pPr>
    </w:p>
    <w:p w14:paraId="497B176B">
      <w:pPr>
        <w:tabs>
          <w:tab w:val="left" w:pos="780"/>
        </w:tabs>
        <w:spacing w:line="360" w:lineRule="auto"/>
        <w:ind w:left="2650" w:hanging="2650" w:hangingChars="600"/>
        <w:jc w:val="center"/>
        <w:rPr>
          <w:rFonts w:ascii="宋体" w:hAnsi="宋体" w:cs="宋体"/>
          <w:b/>
          <w:bCs/>
          <w:kern w:val="0"/>
          <w:sz w:val="44"/>
          <w:szCs w:val="44"/>
        </w:rPr>
      </w:pPr>
    </w:p>
    <w:p w14:paraId="4EE46B23">
      <w:pPr>
        <w:tabs>
          <w:tab w:val="left" w:pos="426"/>
        </w:tabs>
        <w:spacing w:line="360" w:lineRule="auto"/>
        <w:ind w:firstLine="1275" w:firstLineChars="397"/>
        <w:jc w:val="left"/>
        <w:rPr>
          <w:rFonts w:ascii="宋体" w:hAnsi="宋体" w:cs="宋体"/>
          <w:bCs/>
          <w:kern w:val="0"/>
          <w:sz w:val="32"/>
          <w:szCs w:val="32"/>
        </w:rPr>
      </w:pPr>
      <w:r>
        <w:rPr>
          <w:rFonts w:ascii="宋体" w:hAnsi="宋体" w:cs="宋体"/>
          <w:b/>
          <w:bCs/>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1835785</wp:posOffset>
                </wp:positionH>
                <wp:positionV relativeFrom="paragraph">
                  <wp:posOffset>295275</wp:posOffset>
                </wp:positionV>
                <wp:extent cx="2905125" cy="0"/>
                <wp:effectExtent l="0" t="4445" r="0" b="5080"/>
                <wp:wrapNone/>
                <wp:docPr id="8" name="直接箭头连接符 8"/>
                <wp:cNvGraphicFramePr/>
                <a:graphic xmlns:a="http://schemas.openxmlformats.org/drawingml/2006/main">
                  <a:graphicData uri="http://schemas.microsoft.com/office/word/2010/wordprocessingShape">
                    <wps:wsp>
                      <wps:cNvCnPr/>
                      <wps:spPr>
                        <a:xfrm>
                          <a:off x="0" y="0"/>
                          <a:ext cx="290512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23.25pt;height:0pt;width:228.75pt;z-index:251659264;mso-width-relative:page;mso-height-relative:page;" filled="f" stroked="t" coordsize="21600,21600" o:gfxdata="UEsDBAoAAAAAAIdO4kAAAAAAAAAAAAAAAAAEAAAAZHJzL1BLAwQUAAAACACHTuJAopdZRtcAAAAJ&#10;AQAADwAAAGRycy9kb3ducmV2LnhtbE2PTU/DMAyG70j8h8hI3FjaapRRmu4wQOI0wUAgbl5jmorG&#10;qZr0g39PEAc42n70+nnL7WI7MdHgW8cK0lUCgrh2uuVGwcvz/cUGhA/IGjvHpOCLPGyr05MSC+1m&#10;fqLpEBoRQ9gXqMCE0BdS+tqQRb9yPXG8fbjBYojj0Eg94BzDbSezJMmlxZbjB4M97QzVn4fRKrD4&#10;4MbM7Kb963L7qOd3rvd3b0qdn6XJDYhAS/iD4Uc/qkMVnY5uZO1FpyDbXKcRVbDOL0FE4Gqd5yCO&#10;vwtZlfJ/g+obUEsDBBQAAAAIAIdO4kDcOCjt/QEAAOwDAAAOAAAAZHJzL2Uyb0RvYy54bWytU82O&#10;0zAQviPxDpbvNG1RV0vUdA8tywVBJeABpo6TWPKfPN6mfQleAIkTcAJOe9+ngeUxGDvdLiyXHsjB&#10;GXs838z3zXh+sTOabWVA5WzFJ6MxZ9IKVyvbVvzd28sn55xhBFuDdlZWfC+RXyweP5r3vpRT1zld&#10;y8AIxGLZ+4p3MfqyKFB00gCOnJeWnI0LBiJtQ1vUAXpCN7qYjsdnRe9C7YMTEpFOV4OTHxDDKYCu&#10;aZSQKyeujLRxQA1SQyRK2CmPfJGrbRop4uumQRmZrjgxjXmlJGRv0los5lC2AXynxKEEOKWEB5wM&#10;KEtJj1AriMCugvoHyigRHLomjoQzxUAkK0IsJuMH2rzpwMvMhaRGfxQd/x+seLVdB6bqilPbLRhq&#10;+O2H65/vP99+//bj0/Wvm4/J/vqFnSepeo8lRSztOhx26Nch8d41waQ/MWK7LO/+KK/cRSbocPps&#10;PJtMZ5yJO19xH+gDxhfSGZaMimMMoNouLp211EQXJlle2L7ESKkp8C4gZdWW9RU/ezqjtgqgoWxo&#10;GMg0noihbXMsOq3qS6V1isDQbpY6sC2kwchfIki4f11LSVaA3XAvu4aR6STUz23N4t6TZJZeCk8l&#10;GFlzpiU9rGQRIJQRlD7lJqXWlipIGg+qJmvj6n0WO5/TEOQaDwObpuzPfY6+f6S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XWUbXAAAACQEAAA8AAAAAAAAAAQAgAAAAIgAAAGRycy9kb3ducmV2&#10;LnhtbFBLAQIUABQAAAAIAIdO4kDcOCjt/QEAAOwDAAAOAAAAAAAAAAEAIAAAACYBAABkcnMvZTJv&#10;RG9jLnhtbFBLBQYAAAAABgAGAFkBAACVBQ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设备名称：</w:t>
      </w:r>
    </w:p>
    <w:p w14:paraId="6F574FE9">
      <w:pPr>
        <w:tabs>
          <w:tab w:val="left" w:pos="780"/>
        </w:tabs>
        <w:spacing w:line="360" w:lineRule="auto"/>
        <w:ind w:firstLine="1275" w:firstLineChars="397"/>
        <w:jc w:val="left"/>
        <w:rPr>
          <w:rFonts w:ascii="宋体" w:hAnsi="宋体" w:cs="宋体"/>
          <w:b/>
          <w:bCs/>
          <w:kern w:val="0"/>
          <w:sz w:val="32"/>
          <w:szCs w:val="32"/>
        </w:rPr>
      </w:pPr>
      <w:r>
        <w:rPr>
          <w:rFonts w:ascii="宋体" w:hAnsi="宋体" w:cs="宋体"/>
          <w:b/>
          <w:bCs/>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1835785</wp:posOffset>
                </wp:positionH>
                <wp:positionV relativeFrom="paragraph">
                  <wp:posOffset>280035</wp:posOffset>
                </wp:positionV>
                <wp:extent cx="2952750" cy="0"/>
                <wp:effectExtent l="0" t="4445" r="0" b="5080"/>
                <wp:wrapNone/>
                <wp:docPr id="9" name="直接箭头连接符 9"/>
                <wp:cNvGraphicFramePr/>
                <a:graphic xmlns:a="http://schemas.openxmlformats.org/drawingml/2006/main">
                  <a:graphicData uri="http://schemas.microsoft.com/office/word/2010/wordprocessingShape">
                    <wps:wsp>
                      <wps:cNvCnPr/>
                      <wps:spPr>
                        <a:xfrm>
                          <a:off x="0" y="0"/>
                          <a:ext cx="2952750"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22.05pt;height:0pt;width:232.5pt;z-index:251660288;mso-width-relative:page;mso-height-relative:page;" filled="f" stroked="t" coordsize="21600,21600" o:gfxdata="UEsDBAoAAAAAAIdO4kAAAAAAAAAAAAAAAAAEAAAAZHJzL1BLAwQUAAAACACHTuJAvPmHNdYAAAAJ&#10;AQAADwAAAGRycy9kb3ducmV2LnhtbE2Py07DMBBF90j8gzVI7KiTqEAb4nRRQGJVQUFU7Nx4iCPi&#10;cRQ7D/6eqVjAal5X954pNrNrxYh9aDwpSBcJCKTKm4ZqBW+vj1crECFqMrr1hAq+McCmPD8rdG78&#10;RC847mMt2IRCrhXYGLtcylBZdDosfIfEt0/fOx157Gtpej2xuWtlliQ30umGOMHqDrcWq6/94BQ4&#10;/eSHzG7H3ft8/2ymD6p2DwelLi/S5A5ExDn+ieGEz+hQMtPRD2SCaBVkq3XKUgXLJVcW3F6fmuPv&#10;QpaF/P9B+QNQSwMEFAAAAAgAh07iQKn55XL8AQAA7AMAAA4AAABkcnMvZTJvRG9jLnhtbK1TzY7T&#10;MBC+I/EOlu80bdEuNGq6h5blgqAS8ABTx0ks+U8eb9O+BC+AxAk4Aae98zSwPAZjp9uF5dIDOThj&#10;j+eb+T7PzC92RrOtDKicrfhkNOZMWuFqZduKv31z+egpZxjB1qCdlRXfS+QXi4cP5r0v5dR1Ttcy&#10;MAKxWPa+4l2MviwKFJ00gCPnpSVn44KBSNvQFnWAntCNLqbj8XnRu1D74IREpNPV4OQHxHAKoGsa&#10;JeTKiSsjbRxQg9QQiRJ2yiNf5GqbRor4qmlQRqYrTkxjXikJ2Zu0Fos5lG0A3ylxKAFOKeEeJwPK&#10;UtIj1AoisKug/oEySgSHrokj4UwxEMmKEIvJ+J42rzvwMnMhqdEfRcf/BytebteBqbriM84sGHrw&#10;m/fXP999uvn29cfH61/fPyT7y2c2S1L1HkuKWNp1OOzQr0PivWuCSX9ixHZZ3v1RXrmLTNDhdHY2&#10;fXJGyotbX3EX6APG59IZloyKYwyg2i4unbX0iC5MsrywfYGRUlPgbUDKqi3rK37+OIMDNWVDzUB5&#10;jCdiaNsci06r+lJpnSIwtJulDmwLqTHylwgS7l/XUpIVYDfcy66hZToJ9TNbs7j3JJmlSeGpBCNr&#10;zrSkwUoWAUIZQelTblJqbamCpPGgarI2rt5nsfM5NUGu8dCwqcv+3OfouyFd/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8+Yc11gAAAAkBAAAPAAAAAAAAAAEAIAAAACIAAABkcnMvZG93bnJldi54&#10;bWxQSwECFAAUAAAACACHTuJAqfnlcvwBAADsAwAADgAAAAAAAAABACAAAAAlAQAAZHJzL2Uyb0Rv&#10;Yy54bWxQSwUGAAAAAAYABgBZAQAAkwU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品牌型号：</w:t>
      </w:r>
    </w:p>
    <w:p w14:paraId="60F5439B">
      <w:pPr>
        <w:tabs>
          <w:tab w:val="left" w:pos="780"/>
        </w:tabs>
        <w:spacing w:line="360" w:lineRule="auto"/>
        <w:ind w:firstLine="1295" w:firstLineChars="403"/>
        <w:jc w:val="left"/>
        <w:rPr>
          <w:rFonts w:ascii="宋体" w:hAnsi="宋体" w:cs="宋体"/>
          <w:bCs/>
          <w:kern w:val="0"/>
          <w:sz w:val="32"/>
          <w:szCs w:val="32"/>
        </w:rPr>
      </w:pPr>
      <w:r>
        <w:rPr>
          <w:rFonts w:ascii="宋体" w:hAnsi="宋体" w:cs="宋体"/>
          <w:b/>
          <w:bCs/>
          <w:kern w:val="0"/>
          <w:sz w:val="32"/>
          <w:szCs w:val="32"/>
        </w:rPr>
        <mc:AlternateContent>
          <mc:Choice Requires="wps">
            <w:drawing>
              <wp:anchor distT="0" distB="0" distL="114300" distR="114300" simplePos="0" relativeHeight="251663360" behindDoc="0" locked="0" layoutInCell="1" allowOverlap="1">
                <wp:simplePos x="0" y="0"/>
                <wp:positionH relativeFrom="column">
                  <wp:posOffset>1835785</wp:posOffset>
                </wp:positionH>
                <wp:positionV relativeFrom="paragraph">
                  <wp:posOffset>264795</wp:posOffset>
                </wp:positionV>
                <wp:extent cx="2952750" cy="0"/>
                <wp:effectExtent l="0" t="4445" r="0" b="5080"/>
                <wp:wrapNone/>
                <wp:docPr id="10" name="直接箭头连接符 10"/>
                <wp:cNvGraphicFramePr/>
                <a:graphic xmlns:a="http://schemas.openxmlformats.org/drawingml/2006/main">
                  <a:graphicData uri="http://schemas.microsoft.com/office/word/2010/wordprocessingShape">
                    <wps:wsp>
                      <wps:cNvCnPr/>
                      <wps:spPr>
                        <a:xfrm>
                          <a:off x="0" y="0"/>
                          <a:ext cx="2952750"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20.85pt;height:0pt;width:232.5pt;z-index:251663360;mso-width-relative:page;mso-height-relative:page;" filled="f" stroked="t" coordsize="21600,21600" o:gfxdata="UEsDBAoAAAAAAIdO4kAAAAAAAAAAAAAAAAAEAAAAZHJzL1BLAwQUAAAACACHTuJA7JSypNcAAAAJ&#10;AQAADwAAAGRycy9kb3ducmV2LnhtbE2PTU/DMAyG70j8h8hI3FjaarCtNN1hgMRpgoGYuHmNaSoa&#10;p2rSD/49QRzg6NePXj8utrNtxUi9bxwrSBcJCOLK6YZrBa8vD1drED4ga2wdk4Iv8rAtz88KzLWb&#10;+JnGQ6hFLGGfowITQpdL6StDFv3CdcRx9+F6iyGOfS11j1Mst63MkuRGWmw4XjDY0c5Q9XkYrAKL&#10;j27IzG7cv813T3p652p/f1Tq8iJNbkEEmsMfDD/6UR3K6HRyA2svWgXZepNGVMEyXYGIwOp6GYPT&#10;byDLQv7/oPwGUEsDBBQAAAAIAIdO4kAsrU58/QEAAO4DAAAOAAAAZHJzL2Uyb0RvYy54bWytU82O&#10;0zAQviPxDpbvNG3RLmzUdA8tywVBJeABpo6TWPKfPN6mfQleAIkTcII97Z2nYZfHYOx0u7BceiCH&#10;ZOzxfDPfl8+z863RbCMDKmcrPhmNOZNWuFrZtuLv3108ec4ZRrA1aGdlxXcS+fn88aNZ70s5dZ3T&#10;tQyMQCyWva94F6MviwJFJw3gyHlpKdm4YCDSMrRFHaAndKOL6Xh8WvQu1D44IRFpdzkk+R4xHAPo&#10;mkYJuXTi0kgbB9QgNUSihJ3yyOd52qaRIr5pGpSR6YoT05jf1ITidXoX8xmUbQDfKbEfAY4Z4QEn&#10;A8pS0wPUEiKwy6D+gTJKBIeuiSPhTDEQyYoQi8n4gTZvO/AycyGp0R9Ex/8HK15vVoGpmpxAklgw&#10;9MdvP17ffPhye/X95+frXz8+pfjbV0Z5Eqv3WFLNwq7CfoV+FRLzbRNM+hInts0C7w4Cy21kgjan&#10;ZyfTZyfUSNzlivtCHzC+lM6wFFQcYwDVdnHhrKXf6MIkCwybVxipNRXeFaSu2rK+4qdPMziQLRuy&#10;A/UxnqihbXMtOq3qC6V1qsDQrhc6sA0ka+QnESTcv46lJkvAbjiXU4NpOgn1C1uzuPOkmaW7wtMI&#10;RtacaUlXK0UECGUEpY85Sa21pQmSxoOqKVq7epfFzvtkgzzj3rLJZ3+uc/X9NZ3/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yUsqTXAAAACQEAAA8AAAAAAAAAAQAgAAAAIgAAAGRycy9kb3ducmV2&#10;LnhtbFBLAQIUABQAAAAIAIdO4kAsrU58/QEAAO4DAAAOAAAAAAAAAAEAIAAAACYBAABkcnMvZTJv&#10;RG9jLnhtbFBLBQYAAAAABgAGAFkBAACVBQ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供 应 商：</w:t>
      </w:r>
    </w:p>
    <w:p w14:paraId="274074E9">
      <w:pPr>
        <w:tabs>
          <w:tab w:val="left" w:pos="780"/>
        </w:tabs>
        <w:spacing w:line="360" w:lineRule="auto"/>
        <w:ind w:left="1260" w:leftChars="600" w:firstLine="13" w:firstLineChars="4"/>
        <w:jc w:val="left"/>
        <w:rPr>
          <w:rFonts w:ascii="宋体" w:hAnsi="宋体" w:cs="宋体"/>
          <w:bCs/>
          <w:kern w:val="0"/>
          <w:sz w:val="32"/>
          <w:szCs w:val="32"/>
        </w:rPr>
      </w:pPr>
      <w:r>
        <w:rPr>
          <w:rFonts w:ascii="宋体" w:hAnsi="宋体" w:cs="宋体"/>
          <w:b/>
          <w:bCs/>
          <w:kern w:val="0"/>
          <w:sz w:val="32"/>
          <w:szCs w:val="32"/>
        </w:rPr>
        <mc:AlternateContent>
          <mc:Choice Requires="wps">
            <w:drawing>
              <wp:anchor distT="0" distB="0" distL="114300" distR="114300" simplePos="0" relativeHeight="251661312" behindDoc="0" locked="0" layoutInCell="1" allowOverlap="1">
                <wp:simplePos x="0" y="0"/>
                <wp:positionH relativeFrom="column">
                  <wp:posOffset>1835785</wp:posOffset>
                </wp:positionH>
                <wp:positionV relativeFrom="paragraph">
                  <wp:posOffset>264795</wp:posOffset>
                </wp:positionV>
                <wp:extent cx="3000375" cy="0"/>
                <wp:effectExtent l="0" t="4445" r="0" b="5080"/>
                <wp:wrapNone/>
                <wp:docPr id="11" name="直接箭头连接符 11"/>
                <wp:cNvGraphicFramePr/>
                <a:graphic xmlns:a="http://schemas.openxmlformats.org/drawingml/2006/main">
                  <a:graphicData uri="http://schemas.microsoft.com/office/word/2010/wordprocessingShape">
                    <wps:wsp>
                      <wps:cNvCnPr/>
                      <wps:spPr>
                        <a:xfrm>
                          <a:off x="0" y="0"/>
                          <a:ext cx="300037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20.85pt;height:0pt;width:236.25pt;z-index:251661312;mso-width-relative:page;mso-height-relative:page;" filled="f" stroked="t" coordsize="21600,21600" o:gfxdata="UEsDBAoAAAAAAIdO4kAAAAAAAAAAAAAAAAAEAAAAZHJzL1BLAwQUAAAACACHTuJAb7AN1NcAAAAJ&#10;AQAADwAAAGRycy9kb3ducmV2LnhtbE2PTU/DMAyG70j8h8hI3FjaCnWjNN1hgMRpgoFA3LzGNBWN&#10;UzXpB/+eIA7jaPvR6+ctt4vtxESDbx0rSFcJCOLa6ZYbBa8vD1cbED4ga+wck4Jv8rCtzs9KLLSb&#10;+ZmmQ2hEDGFfoAITQl9I6WtDFv3K9cTx9ukGiyGOQyP1gHMMt53MkiSXFluOHwz2tDNUfx1Gq8Di&#10;oxszs5v2b8vdk54/uN7fvyt1eZEmtyACLeEEw69+VIcqOh3dyNqLTkG2uUkjquA6XYOIwDpPcxDH&#10;v4WsSvm/QfUDUEsDBBQAAAAIAIdO4kA+uIUG/gEAAO4DAAAOAAAAZHJzL2Uyb0RvYy54bWytU81u&#10;EzEQviPxDpbvZDeNWtAqmx4SygVBJOABJl7vriX/yeNmk5fgBZA4ASfg1HufBspjMPamKZRLD+Sw&#10;GXs838z3+fP8fGc028qAytmaTyclZ9IK1yjb1fzd24snzzjDCLYB7ays+V4iP188fjQffCVPXO90&#10;IwMjEIvV4Gvex+irokDRSwM4cV5aSrYuGIi0DF3RBBgI3ejipCzPisGFxgcnJCLtrsYkPyCGhwC6&#10;tlVCrpy4NNLGETVIDZEoYa888kWetm2liK/bFmVkuubENOYvNaF4k77FYg5VF8D3ShxGgIeMcI+T&#10;AWWp6RFqBRHYZVD/QBklgkPXxolwphiJZEWIxbS8p82bHrzMXEhq9EfR8f/BilfbdWCqISdMObNg&#10;6MZvPlz9fP/55vu3H5+ufl1/TPHXL4zyJNbgsaKapV2Hwwr9OiTmuzaY9E+c2C4LvD8KLHeRCdqc&#10;lWU5e3rKmbjNFXeFPmB8IZ1hKag5xgCq6+PSWUvX6MI0CwzblxipNRXeFqSu2rKh5mezU7pYAWTL&#10;luxAofFEDW2Xa9Fp1VworVMFhm6z1IFtIVkj/xJBwv3rWGqyAuzHczk1mqaX0Dy3DYt7T5pZeis8&#10;jWBkw5mW9LRSRIBQRVD6ISeptbY0QdJ4VDVFG9fss9h5n2yQZzxYNvnsz3Wuvnum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vsA3U1wAAAAkBAAAPAAAAAAAAAAEAIAAAACIAAABkcnMvZG93bnJl&#10;di54bWxQSwECFAAUAAAACACHTuJAPriFBv4BAADuAwAADgAAAAAAAAABACAAAAAmAQAAZHJzL2Uy&#10;b0RvYy54bWxQSwUGAAAAAAYABgBZAQAAlgU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联 系 人：</w:t>
      </w:r>
    </w:p>
    <w:p w14:paraId="5F75CE82">
      <w:pPr>
        <w:tabs>
          <w:tab w:val="left" w:pos="780"/>
        </w:tabs>
        <w:spacing w:line="360" w:lineRule="auto"/>
        <w:ind w:left="1260" w:leftChars="600" w:firstLine="13" w:firstLineChars="4"/>
        <w:jc w:val="left"/>
        <w:rPr>
          <w:rFonts w:ascii="宋体" w:hAnsi="宋体" w:cs="宋体"/>
          <w:b/>
          <w:bCs/>
          <w:kern w:val="0"/>
          <w:sz w:val="32"/>
          <w:szCs w:val="32"/>
        </w:rPr>
      </w:pPr>
      <w:r>
        <w:rPr>
          <w:rFonts w:ascii="宋体" w:hAnsi="宋体" w:cs="宋体"/>
          <w:b/>
          <w:bCs/>
          <w:kern w:val="0"/>
          <w:sz w:val="32"/>
          <w:szCs w:val="32"/>
        </w:rPr>
        <mc:AlternateContent>
          <mc:Choice Requires="wps">
            <w:drawing>
              <wp:anchor distT="0" distB="0" distL="114300" distR="114300" simplePos="0" relativeHeight="251662336" behindDoc="0" locked="0" layoutInCell="1" allowOverlap="1">
                <wp:simplePos x="0" y="0"/>
                <wp:positionH relativeFrom="column">
                  <wp:posOffset>1835785</wp:posOffset>
                </wp:positionH>
                <wp:positionV relativeFrom="paragraph">
                  <wp:posOffset>256540</wp:posOffset>
                </wp:positionV>
                <wp:extent cx="3000375" cy="0"/>
                <wp:effectExtent l="0" t="4445" r="0" b="5080"/>
                <wp:wrapNone/>
                <wp:docPr id="7" name="直接箭头连接符 7"/>
                <wp:cNvGraphicFramePr/>
                <a:graphic xmlns:a="http://schemas.openxmlformats.org/drawingml/2006/main">
                  <a:graphicData uri="http://schemas.microsoft.com/office/word/2010/wordprocessingShape">
                    <wps:wsp>
                      <wps:cNvCnPr/>
                      <wps:spPr>
                        <a:xfrm>
                          <a:off x="0" y="0"/>
                          <a:ext cx="300037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20.2pt;height:0pt;width:236.25pt;z-index:251662336;mso-width-relative:page;mso-height-relative:page;" filled="f" stroked="t" coordsize="21600,21600" o:gfxdata="UEsDBAoAAAAAAIdO4kAAAAAAAAAAAAAAAAAEAAAAZHJzL1BLAwQUAAAACACHTuJAYWEs9tcAAAAJ&#10;AQAADwAAAGRycy9kb3ducmV2LnhtbE2PTU/DMAyG70j8h8hI3FjaaiqjNN1hgMRpgoFA3LzGNBWN&#10;UzXpB/+eIA7jaPvR6+ctt4vtxESDbx0rSFcJCOLa6ZYbBa8vD1cbED4ga+wck4Jv8rCtzs9KLLSb&#10;+ZmmQ2hEDGFfoAITQl9I6WtDFv3K9cTx9ukGiyGOQyP1gHMMt53MkiSXFluOHwz2tDNUfx1Gq8Di&#10;oxszs5v2b8vdk54/uN7fvyt1eZEmtyACLeEEw69+VIcqOh3dyNqLTkG2uUkjqmCdrEFE4DpPcxDH&#10;v4WsSvm/QfUDUEsDBBQAAAAIAIdO4kDdsBPz/gEAAOwDAAAOAAAAZHJzL2Uyb0RvYy54bWytU0uO&#10;EzEQ3SNxB8t70p2JZoJa6cwiYdggiAQcoOJ2d1vyTy5PPpfgAkisgBWwmj2ngeEYlN2ZDAybLOiF&#10;u+xyvar3XDW73BnNNjKgcrbm41HJmbTCNcp2NX/75urJU84wgm1AOytrvpfIL+ePH822vpJnrne6&#10;kYERiMVq62vex+irokDRSwM4cl5acrYuGIi0DV3RBNgSutHFWVleFFsXGh+ckIh0uhyc/IAYTgF0&#10;bauEXDpxbaSNA2qQGiJRwl555PNcbdtKEV+1LcrIdM2JacwrJSF7ndZiPoOqC+B7JQ4lwCklPOBk&#10;QFlKeoRaQgR2HdQ/UEaJ4NC1cSScKQYiWRFiMS4faPO6By8zF5Ia/VF0/H+w4uVmFZhqaj7lzIKh&#10;B799f/Pz3afbb19/fLz59f1Dsr98ZtMk1dZjRRELuwqHHfpVSLx3bTDpT4zYLsu7P8ord5EJOpyU&#10;ZTmZnnMm7nzFfaAPGJ9LZ1gyao4xgOr6uHDW0iO6MM7ywuYFRkpNgXcBKau2bFvzi8k5PasAasqW&#10;moFM44kY2i7HotOquVJapwgM3XqhA9tAaoz8JYKE+9e1lGQJ2A/3smtomV5C88w2LO49SWZpUngq&#10;wciGMy1psJJFgFBFUPqUm5RaW6ogaTyomqy1a/ZZ7HxOTZBrPDRs6rI/9zn6fkjn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hYSz21wAAAAkBAAAPAAAAAAAAAAEAIAAAACIAAABkcnMvZG93bnJl&#10;di54bWxQSwECFAAUAAAACACHTuJA3bAT8/4BAADsAwAADgAAAAAAAAABACAAAAAmAQAAZHJzL2Uy&#10;b0RvYy54bWxQSwUGAAAAAAYABgBZAQAAlgU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联系方式：</w:t>
      </w:r>
    </w:p>
    <w:p w14:paraId="29BCFA9F">
      <w:pPr>
        <w:tabs>
          <w:tab w:val="left" w:pos="780"/>
        </w:tabs>
        <w:spacing w:line="360" w:lineRule="auto"/>
        <w:ind w:left="1260" w:leftChars="600" w:firstLine="13" w:firstLineChars="4"/>
        <w:jc w:val="left"/>
        <w:rPr>
          <w:rFonts w:ascii="宋体" w:hAnsi="宋体" w:cs="宋体"/>
          <w:b/>
          <w:bCs/>
          <w:kern w:val="0"/>
          <w:sz w:val="32"/>
          <w:szCs w:val="32"/>
        </w:rPr>
      </w:pPr>
      <w:r>
        <w:rPr>
          <w:rFonts w:ascii="宋体" w:hAnsi="宋体" w:cs="宋体"/>
          <w:b/>
          <w:bCs/>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1835785</wp:posOffset>
                </wp:positionH>
                <wp:positionV relativeFrom="paragraph">
                  <wp:posOffset>250825</wp:posOffset>
                </wp:positionV>
                <wp:extent cx="3000375" cy="0"/>
                <wp:effectExtent l="0" t="4445" r="0" b="5080"/>
                <wp:wrapNone/>
                <wp:docPr id="12" name="直接箭头连接符 12"/>
                <wp:cNvGraphicFramePr/>
                <a:graphic xmlns:a="http://schemas.openxmlformats.org/drawingml/2006/main">
                  <a:graphicData uri="http://schemas.microsoft.com/office/word/2010/wordprocessingShape">
                    <wps:wsp>
                      <wps:cNvCnPr/>
                      <wps:spPr>
                        <a:xfrm>
                          <a:off x="0" y="0"/>
                          <a:ext cx="300037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144.55pt;margin-top:19.75pt;height:0pt;width:236.25pt;z-index:251664384;mso-width-relative:page;mso-height-relative:page;" filled="f" stroked="t" coordsize="21600,21600" o:gfxdata="UEsDBAoAAAAAAIdO4kAAAAAAAAAAAAAAAAAEAAAAZHJzL1BLAwQUAAAACACHTuJATRnrb9cAAAAJ&#10;AQAADwAAAGRycy9kb3ducmV2LnhtbE2PTU/DMAyG70j8h8hI3FjaIspWmu4wQOI0wUAgbl5jmorG&#10;qZr0g39PEAc42n70+nnL7WI7MdHgW8cK0lUCgrh2uuVGwcvz/cUahA/IGjvHpOCLPGyr05MSC+1m&#10;fqLpEBoRQ9gXqMCE0BdS+tqQRb9yPXG8fbjBYojj0Eg94BzDbSezJMmlxZbjB4M97QzVn4fRKrD4&#10;4MbM7Kb963L7qOd3rvd3b0qdn6XJDYhAS/iD4Uc/qkMVnY5uZO1FpyBbb9KIKrjcXIGIwHWe5iCO&#10;vwtZlfJ/g+obUEsDBBQAAAAIAIdO4kAQL/kw/gEAAO4DAAAOAAAAZHJzL2Uyb0RvYy54bWytU0uO&#10;EzEQ3SNxB8t70p1EM6BWOrNIGDYIIgEHqLjd3Zb8k8uTzyW4ABIrYAWsZj+ngeEYlN2ZDAybLMii&#10;U3a5XtV7fp5d7IxmGxlQOVvz8ajkTFrhGmW7mr97e/nkGWcYwTagnZU130vkF/PHj2ZbX8mJ651u&#10;ZGAEYrHa+pr3MfqqKFD00gCOnJeWkq0LBiItQ1c0AbaEbnQxKcvzYutC44MTEpF2l0OSHxDDKYCu&#10;bZWQSyeujLRxQA1SQyRK2CuPfJ6nbVsp4uu2RRmZrjkxjflLTShep28xn0HVBfC9EocR4JQRHnAy&#10;oCw1PUItIQK7CuofKKNEcOjaOBLOFAORrAixGJcPtHnTg5eZC0mN/ig6/j9Y8WqzCkw15IQJZxYM&#10;3fjth+uf7z/ffv/249P1r5uPKf76hVGexNp6rKhmYVfhsEK/Con5rg0m/RMntssC748Cy11kgjan&#10;ZVlOn55xJu5yxX2hDxhfSGdYCmqOMYDq+rhw1tI1ujDOAsPmJUZqTYV3Bamrtmxb8/PpGV2sALJl&#10;S3ag0HiihrbLtei0ai6V1qkCQ7de6MA2kKyRf4kg4f51LDVZAvbDuZwaTNNLaJ7bhsW9J80svRWe&#10;RjCy4UxLelopIkCoIih9yklqrS1NkDQeVE3R2jX7LHbeJxvkGQ+WTT77c52r75/p/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Getv1wAAAAkBAAAPAAAAAAAAAAEAIAAAACIAAABkcnMvZG93bnJl&#10;di54bWxQSwECFAAUAAAACACHTuJAEC/5MP4BAADuAwAADgAAAAAAAAABACAAAAAmAQAAZHJzL2Uy&#10;b0RvYy54bWxQSwUGAAAAAAYABgBZAQAAlgUAAAAA&#10;">
                <v:fill on="f" focussize="0,0"/>
                <v:stroke weight="0.5pt" color="#000000" joinstyle="round"/>
                <v:imagedata o:title=""/>
                <o:lock v:ext="edit" aspectratio="f"/>
              </v:shape>
            </w:pict>
          </mc:Fallback>
        </mc:AlternateContent>
      </w:r>
      <w:r>
        <w:rPr>
          <w:rFonts w:hint="eastAsia" w:ascii="宋体" w:hAnsi="宋体" w:cs="宋体"/>
          <w:b/>
          <w:bCs/>
          <w:kern w:val="0"/>
          <w:sz w:val="32"/>
          <w:szCs w:val="32"/>
        </w:rPr>
        <w:t>邮    箱：</w:t>
      </w:r>
    </w:p>
    <w:p w14:paraId="41098363">
      <w:pPr>
        <w:spacing w:line="360" w:lineRule="exact"/>
        <w:jc w:val="center"/>
        <w:rPr>
          <w:rFonts w:hint="eastAsia" w:cs="仿宋_GB2312" w:asciiTheme="minorEastAsia" w:hAnsiTheme="minorEastAsia"/>
          <w:b/>
          <w:sz w:val="32"/>
          <w:szCs w:val="32"/>
        </w:rPr>
      </w:pPr>
    </w:p>
    <w:p w14:paraId="4189362D">
      <w:pPr>
        <w:spacing w:line="360" w:lineRule="exact"/>
        <w:jc w:val="center"/>
        <w:rPr>
          <w:rFonts w:hint="eastAsia" w:cs="仿宋_GB2312" w:asciiTheme="minorEastAsia" w:hAnsiTheme="minorEastAsia"/>
          <w:b/>
          <w:sz w:val="32"/>
          <w:szCs w:val="32"/>
        </w:rPr>
      </w:pPr>
    </w:p>
    <w:p w14:paraId="07843666">
      <w:pPr>
        <w:spacing w:line="360" w:lineRule="exact"/>
        <w:jc w:val="center"/>
        <w:rPr>
          <w:rFonts w:hint="eastAsia" w:cs="仿宋_GB2312" w:asciiTheme="minorEastAsia" w:hAnsiTheme="minorEastAsia"/>
          <w:b/>
          <w:sz w:val="32"/>
          <w:szCs w:val="32"/>
        </w:rPr>
      </w:pPr>
    </w:p>
    <w:p w14:paraId="02087369">
      <w:pPr>
        <w:spacing w:line="360" w:lineRule="exact"/>
        <w:jc w:val="center"/>
        <w:rPr>
          <w:rFonts w:hint="eastAsia" w:cs="仿宋_GB2312" w:asciiTheme="minorEastAsia" w:hAnsiTheme="minorEastAsia"/>
          <w:b/>
          <w:sz w:val="32"/>
          <w:szCs w:val="32"/>
        </w:rPr>
      </w:pPr>
    </w:p>
    <w:p w14:paraId="35AA1FE5">
      <w:pPr>
        <w:spacing w:line="360" w:lineRule="exact"/>
        <w:jc w:val="center"/>
        <w:rPr>
          <w:rFonts w:hint="eastAsia" w:cs="仿宋_GB2312" w:asciiTheme="minorEastAsia" w:hAnsiTheme="minorEastAsia"/>
          <w:b/>
          <w:sz w:val="32"/>
          <w:szCs w:val="32"/>
        </w:rPr>
      </w:pPr>
    </w:p>
    <w:p w14:paraId="16D8C3F8">
      <w:pPr>
        <w:spacing w:line="360" w:lineRule="exact"/>
        <w:jc w:val="center"/>
        <w:rPr>
          <w:rFonts w:hint="eastAsia" w:cs="仿宋_GB2312" w:asciiTheme="minorEastAsia" w:hAnsiTheme="minorEastAsia"/>
          <w:b/>
          <w:sz w:val="32"/>
          <w:szCs w:val="32"/>
        </w:rPr>
      </w:pPr>
    </w:p>
    <w:p w14:paraId="5136753A">
      <w:pPr>
        <w:spacing w:line="360" w:lineRule="exact"/>
        <w:jc w:val="center"/>
        <w:rPr>
          <w:rFonts w:hint="eastAsia" w:cs="仿宋_GB2312" w:asciiTheme="minorEastAsia" w:hAnsiTheme="minorEastAsia"/>
          <w:b/>
          <w:sz w:val="32"/>
          <w:szCs w:val="32"/>
        </w:rPr>
      </w:pPr>
    </w:p>
    <w:p w14:paraId="7B271ECE">
      <w:pPr>
        <w:spacing w:line="360" w:lineRule="exact"/>
        <w:jc w:val="center"/>
        <w:rPr>
          <w:rFonts w:hint="eastAsia" w:cs="仿宋_GB2312" w:asciiTheme="minorEastAsia" w:hAnsiTheme="minorEastAsia"/>
          <w:b/>
          <w:sz w:val="32"/>
          <w:szCs w:val="32"/>
        </w:rPr>
      </w:pPr>
    </w:p>
    <w:p w14:paraId="2CF6E474">
      <w:pPr>
        <w:spacing w:line="360" w:lineRule="exact"/>
        <w:jc w:val="center"/>
        <w:rPr>
          <w:rFonts w:cs="仿宋_GB2312" w:asciiTheme="minorEastAsia" w:hAnsiTheme="minorEastAsia"/>
          <w:b/>
          <w:sz w:val="32"/>
          <w:szCs w:val="32"/>
        </w:rPr>
      </w:pPr>
      <w:r>
        <w:rPr>
          <w:rFonts w:hint="eastAsia" w:cs="仿宋_GB2312" w:asciiTheme="minorEastAsia" w:hAnsiTheme="minorEastAsia"/>
          <w:b/>
          <w:sz w:val="32"/>
          <w:szCs w:val="32"/>
        </w:rPr>
        <w:t>报价资料清单</w:t>
      </w:r>
    </w:p>
    <w:p w14:paraId="407C8474">
      <w:pPr>
        <w:spacing w:line="360" w:lineRule="exact"/>
        <w:jc w:val="center"/>
        <w:rPr>
          <w:rFonts w:ascii="宋体" w:hAnsi="宋体"/>
          <w:b/>
          <w:bCs/>
          <w:sz w:val="24"/>
        </w:rPr>
      </w:pPr>
      <w:r>
        <w:rPr>
          <w:rFonts w:hint="eastAsia" w:ascii="宋体" w:hAnsi="宋体"/>
          <w:b/>
          <w:bCs/>
          <w:sz w:val="24"/>
        </w:rPr>
        <w:t xml:space="preserve">            </w:t>
      </w:r>
    </w:p>
    <w:p w14:paraId="4DEA6B13">
      <w:pPr>
        <w:numPr>
          <w:ilvl w:val="0"/>
          <w:numId w:val="2"/>
        </w:numPr>
        <w:spacing w:line="500" w:lineRule="exact"/>
        <w:ind w:left="-145" w:leftChars="-270" w:hanging="422" w:hangingChars="151"/>
        <w:rPr>
          <w:rFonts w:ascii="仿宋" w:hAnsi="仿宋" w:eastAsia="仿宋"/>
          <w:b/>
          <w:bCs/>
          <w:sz w:val="28"/>
          <w:szCs w:val="28"/>
        </w:rPr>
      </w:pPr>
      <w:r>
        <w:rPr>
          <w:rFonts w:hint="eastAsia" w:ascii="仿宋" w:hAnsi="仿宋" w:eastAsia="仿宋"/>
          <w:bCs/>
          <w:sz w:val="28"/>
          <w:szCs w:val="28"/>
        </w:rPr>
        <w:t>以下所有资料</w:t>
      </w:r>
      <w:r>
        <w:rPr>
          <w:rFonts w:hint="eastAsia" w:ascii="宋体" w:hAnsi="宋体"/>
          <w:b/>
          <w:bCs/>
          <w:sz w:val="32"/>
          <w:szCs w:val="32"/>
        </w:rPr>
        <w:t>一份</w:t>
      </w:r>
      <w:r>
        <w:rPr>
          <w:rFonts w:hint="eastAsia" w:ascii="宋体" w:hAnsi="宋体"/>
          <w:b/>
          <w:bCs/>
          <w:sz w:val="32"/>
          <w:szCs w:val="32"/>
          <w:u w:val="double"/>
        </w:rPr>
        <w:t>（双面打印）</w:t>
      </w:r>
      <w:r>
        <w:rPr>
          <w:rFonts w:hint="eastAsia" w:ascii="仿宋" w:hAnsi="仿宋" w:eastAsia="仿宋"/>
          <w:bCs/>
          <w:sz w:val="28"/>
          <w:szCs w:val="28"/>
        </w:rPr>
        <w:t>且均须</w:t>
      </w:r>
      <w:r>
        <w:rPr>
          <w:rFonts w:hint="eastAsia" w:ascii="宋体" w:hAnsi="宋体"/>
          <w:b/>
          <w:bCs/>
          <w:sz w:val="32"/>
          <w:szCs w:val="32"/>
        </w:rPr>
        <w:t>加盖公章</w:t>
      </w:r>
    </w:p>
    <w:p w14:paraId="1EAEB7B4">
      <w:pPr>
        <w:numPr>
          <w:ilvl w:val="0"/>
          <w:numId w:val="2"/>
        </w:numPr>
        <w:spacing w:line="500" w:lineRule="exact"/>
        <w:ind w:left="-142" w:hanging="425"/>
        <w:rPr>
          <w:rFonts w:ascii="仿宋" w:hAnsi="仿宋" w:eastAsia="仿宋"/>
          <w:b/>
          <w:bCs/>
          <w:sz w:val="28"/>
          <w:szCs w:val="28"/>
        </w:rPr>
      </w:pPr>
      <w:r>
        <w:rPr>
          <w:rFonts w:hint="eastAsia" w:ascii="仿宋" w:hAnsi="仿宋" w:eastAsia="仿宋"/>
          <w:bCs/>
          <w:sz w:val="28"/>
          <w:szCs w:val="28"/>
        </w:rPr>
        <w:t>请按以下顺序</w:t>
      </w:r>
      <w:r>
        <w:rPr>
          <w:rFonts w:hint="eastAsia" w:ascii="仿宋" w:hAnsi="仿宋" w:eastAsia="仿宋"/>
          <w:b/>
          <w:bCs/>
          <w:sz w:val="28"/>
          <w:szCs w:val="28"/>
        </w:rPr>
        <w:t>装订</w:t>
      </w:r>
    </w:p>
    <w:tbl>
      <w:tblPr>
        <w:tblStyle w:val="13"/>
        <w:tblW w:w="9677" w:type="dxa"/>
        <w:tblInd w:w="-7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7"/>
      </w:tblGrid>
      <w:tr w14:paraId="11086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0" w:hRule="atLeast"/>
        </w:trPr>
        <w:tc>
          <w:tcPr>
            <w:tcW w:w="9677" w:type="dxa"/>
          </w:tcPr>
          <w:p w14:paraId="6AD80620">
            <w:pPr>
              <w:spacing w:line="440" w:lineRule="exact"/>
              <w:ind w:firstLine="320" w:firstLineChars="100"/>
              <w:jc w:val="left"/>
              <w:rPr>
                <w:rFonts w:ascii="宋体" w:hAnsi="宋体" w:cs="宋体"/>
                <w:sz w:val="32"/>
              </w:rPr>
            </w:pPr>
          </w:p>
          <w:p w14:paraId="0C1D3A06">
            <w:pPr>
              <w:spacing w:line="440" w:lineRule="exact"/>
              <w:ind w:firstLine="320" w:firstLineChars="100"/>
              <w:jc w:val="left"/>
              <w:rPr>
                <w:rFonts w:hint="eastAsia" w:ascii="仿宋" w:hAnsi="仿宋" w:eastAsia="仿宋"/>
                <w:b/>
                <w:sz w:val="30"/>
                <w:szCs w:val="30"/>
                <w:lang w:eastAsia="zh-CN"/>
              </w:rPr>
            </w:pPr>
            <w:r>
              <w:rPr>
                <w:rFonts w:hint="eastAsia" w:ascii="宋体" w:hAnsi="宋体" w:cs="宋体"/>
                <w:sz w:val="32"/>
              </w:rPr>
              <w:sym w:font="Wingdings 2" w:char="00A3"/>
            </w:r>
            <w:r>
              <w:rPr>
                <w:rFonts w:hint="eastAsia" w:ascii="仿宋" w:hAnsi="仿宋" w:eastAsia="仿宋"/>
                <w:b/>
                <w:sz w:val="32"/>
              </w:rPr>
              <w:t xml:space="preserve"> </w:t>
            </w:r>
            <w:r>
              <w:rPr>
                <w:rFonts w:hint="eastAsia" w:ascii="仿宋" w:hAnsi="仿宋" w:eastAsia="仿宋"/>
                <w:bCs/>
                <w:sz w:val="28"/>
                <w:szCs w:val="28"/>
              </w:rPr>
              <w:t>1.</w:t>
            </w:r>
            <w:r>
              <w:rPr>
                <w:rFonts w:hint="eastAsia" w:ascii="仿宋" w:hAnsi="仿宋" w:eastAsia="仿宋"/>
                <w:b/>
                <w:sz w:val="30"/>
                <w:szCs w:val="30"/>
              </w:rPr>
              <w:t>设备报价表</w:t>
            </w:r>
            <w:r>
              <w:rPr>
                <w:rFonts w:hint="eastAsia" w:ascii="仿宋" w:hAnsi="仿宋" w:eastAsia="仿宋"/>
                <w:b/>
                <w:sz w:val="30"/>
                <w:szCs w:val="30"/>
                <w:lang w:eastAsia="zh-CN"/>
              </w:rPr>
              <w:t>（</w:t>
            </w:r>
            <w:r>
              <w:rPr>
                <w:rFonts w:hint="eastAsia" w:ascii="仿宋" w:hAnsi="仿宋" w:eastAsia="仿宋"/>
                <w:b/>
                <w:sz w:val="30"/>
                <w:szCs w:val="30"/>
                <w:lang w:val="en-US" w:eastAsia="zh-CN"/>
              </w:rPr>
              <w:t>模板</w:t>
            </w:r>
            <w:r>
              <w:rPr>
                <w:rFonts w:hint="eastAsia" w:ascii="仿宋" w:hAnsi="仿宋" w:eastAsia="仿宋"/>
                <w:b/>
                <w:sz w:val="30"/>
                <w:szCs w:val="30"/>
                <w:lang w:eastAsia="zh-CN"/>
              </w:rPr>
              <w:t>）</w:t>
            </w:r>
          </w:p>
          <w:p w14:paraId="50EB504F">
            <w:pPr>
              <w:tabs>
                <w:tab w:val="left" w:pos="780"/>
              </w:tabs>
              <w:spacing w:line="440" w:lineRule="exact"/>
              <w:ind w:left="155" w:leftChars="74" w:firstLine="160" w:firstLineChars="50"/>
              <w:jc w:val="left"/>
              <w:rPr>
                <w:rFonts w:ascii="仿宋" w:hAnsi="仿宋" w:eastAsia="仿宋"/>
                <w:sz w:val="24"/>
              </w:rPr>
            </w:pPr>
            <w:r>
              <w:rPr>
                <w:rFonts w:hint="eastAsia" w:ascii="宋体" w:hAnsi="宋体" w:cs="宋体"/>
                <w:sz w:val="32"/>
              </w:rPr>
              <w:t>□</w:t>
            </w:r>
            <w:r>
              <w:rPr>
                <w:rFonts w:hint="eastAsia" w:ascii="仿宋" w:hAnsi="仿宋" w:eastAsia="仿宋"/>
                <w:sz w:val="32"/>
              </w:rPr>
              <w:t xml:space="preserve"> </w:t>
            </w:r>
            <w:r>
              <w:rPr>
                <w:rFonts w:hint="eastAsia" w:ascii="仿宋" w:hAnsi="仿宋" w:eastAsia="仿宋"/>
                <w:bCs/>
                <w:sz w:val="28"/>
                <w:szCs w:val="28"/>
              </w:rPr>
              <w:t>2.</w:t>
            </w:r>
            <w:r>
              <w:rPr>
                <w:rFonts w:hint="eastAsia" w:ascii="仿宋" w:hAnsi="仿宋" w:eastAsia="仿宋"/>
                <w:b/>
                <w:sz w:val="30"/>
                <w:szCs w:val="30"/>
              </w:rPr>
              <w:t>设备的注册证：</w:t>
            </w:r>
            <w:r>
              <w:rPr>
                <w:rFonts w:hint="eastAsia" w:ascii="仿宋" w:hAnsi="仿宋" w:eastAsia="仿宋"/>
                <w:sz w:val="24"/>
              </w:rPr>
              <w:t>注册证号：</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r>
              <w:rPr>
                <w:rFonts w:hint="eastAsia" w:ascii="仿宋" w:hAnsi="仿宋" w:eastAsia="仿宋"/>
                <w:sz w:val="24"/>
              </w:rPr>
              <w:t>；有效期至：</w:t>
            </w:r>
            <w:r>
              <w:rPr>
                <w:rFonts w:hint="eastAsia" w:ascii="仿宋" w:hAnsi="仿宋" w:eastAsia="仿宋"/>
                <w:b/>
                <w:bCs/>
                <w:sz w:val="28"/>
                <w:szCs w:val="28"/>
                <w:u w:val="single"/>
              </w:rPr>
              <w:t xml:space="preserve">            </w:t>
            </w:r>
            <w:r>
              <w:rPr>
                <w:rFonts w:hint="eastAsia" w:ascii="仿宋" w:hAnsi="仿宋" w:eastAsia="仿宋"/>
                <w:sz w:val="24"/>
              </w:rPr>
              <w:t>（计量器具提供计量证、消毒类设备提供卫生部门批件。）</w:t>
            </w:r>
          </w:p>
          <w:p w14:paraId="6ED6EFED">
            <w:pPr>
              <w:tabs>
                <w:tab w:val="left" w:pos="780"/>
              </w:tabs>
              <w:spacing w:line="440" w:lineRule="exact"/>
              <w:ind w:firstLine="320" w:firstLineChars="100"/>
              <w:rPr>
                <w:rFonts w:ascii="仿宋" w:hAnsi="仿宋" w:eastAsia="仿宋"/>
                <w:sz w:val="24"/>
              </w:rPr>
            </w:pPr>
            <w:r>
              <w:rPr>
                <w:rFonts w:hint="eastAsia" w:ascii="宋体" w:hAnsi="宋体" w:cs="宋体"/>
                <w:sz w:val="32"/>
              </w:rPr>
              <w:t>□</w:t>
            </w:r>
            <w:r>
              <w:rPr>
                <w:rFonts w:hint="eastAsia" w:ascii="仿宋" w:hAnsi="仿宋" w:eastAsia="仿宋"/>
                <w:sz w:val="32"/>
              </w:rPr>
              <w:t xml:space="preserve"> </w:t>
            </w:r>
            <w:r>
              <w:rPr>
                <w:rFonts w:ascii="仿宋" w:hAnsi="仿宋" w:eastAsia="仿宋"/>
                <w:bCs/>
                <w:sz w:val="28"/>
                <w:szCs w:val="28"/>
              </w:rPr>
              <w:t>3</w:t>
            </w:r>
            <w:r>
              <w:rPr>
                <w:rFonts w:hint="eastAsia" w:ascii="仿宋" w:hAnsi="仿宋" w:eastAsia="仿宋"/>
                <w:bCs/>
                <w:sz w:val="28"/>
                <w:szCs w:val="28"/>
              </w:rPr>
              <w:t>.</w:t>
            </w:r>
            <w:r>
              <w:rPr>
                <w:rFonts w:hint="eastAsia" w:ascii="仿宋" w:hAnsi="仿宋" w:eastAsia="仿宋"/>
                <w:b/>
                <w:sz w:val="30"/>
                <w:szCs w:val="30"/>
              </w:rPr>
              <w:t>价格依据清单：</w:t>
            </w:r>
            <w:r>
              <w:rPr>
                <w:rFonts w:hint="eastAsia" w:ascii="仿宋" w:hAnsi="仿宋" w:eastAsia="仿宋"/>
                <w:sz w:val="24"/>
              </w:rPr>
              <w:t>提供近三年内三份采购合同（含配置清单）复印件或发票复印件或中标通知书复印件，所有依据须体现设备单价。</w:t>
            </w:r>
          </w:p>
          <w:p w14:paraId="259A4827">
            <w:pPr>
              <w:tabs>
                <w:tab w:val="left" w:pos="780"/>
              </w:tabs>
              <w:spacing w:line="440" w:lineRule="exact"/>
              <w:ind w:firstLine="320" w:firstLineChars="100"/>
              <w:rPr>
                <w:rFonts w:ascii="仿宋" w:hAnsi="仿宋" w:eastAsia="仿宋"/>
                <w:sz w:val="24"/>
              </w:rPr>
            </w:pPr>
            <w:r>
              <w:rPr>
                <w:rFonts w:hint="eastAsia" w:ascii="宋体" w:hAnsi="宋体" w:cs="宋体"/>
                <w:sz w:val="32"/>
              </w:rPr>
              <w:t xml:space="preserve">□ </w:t>
            </w:r>
            <w:r>
              <w:rPr>
                <w:rFonts w:hint="eastAsia" w:ascii="仿宋" w:hAnsi="仿宋" w:eastAsia="仿宋"/>
                <w:sz w:val="28"/>
                <w:szCs w:val="28"/>
              </w:rPr>
              <w:t>4.</w:t>
            </w:r>
            <w:r>
              <w:rPr>
                <w:rFonts w:hint="eastAsia" w:ascii="仿宋" w:hAnsi="仿宋" w:eastAsia="仿宋"/>
                <w:b/>
                <w:sz w:val="30"/>
                <w:szCs w:val="30"/>
              </w:rPr>
              <w:t>厂家证件</w:t>
            </w:r>
            <w:r>
              <w:rPr>
                <w:rFonts w:hint="eastAsia" w:ascii="仿宋" w:hAnsi="仿宋" w:eastAsia="仿宋"/>
                <w:sz w:val="24"/>
              </w:rPr>
              <w:t>（国产提供）</w:t>
            </w:r>
            <w:r>
              <w:rPr>
                <w:rFonts w:hint="eastAsia" w:ascii="仿宋" w:hAnsi="仿宋" w:eastAsia="仿宋"/>
                <w:sz w:val="28"/>
                <w:szCs w:val="28"/>
              </w:rPr>
              <w:t>：</w:t>
            </w:r>
            <w:r>
              <w:rPr>
                <w:rFonts w:hint="eastAsia" w:ascii="仿宋" w:hAnsi="仿宋" w:eastAsia="仿宋"/>
                <w:sz w:val="24"/>
              </w:rPr>
              <w:t>生产许可证、营业执照。</w:t>
            </w:r>
          </w:p>
          <w:p w14:paraId="6A55BD71">
            <w:pPr>
              <w:tabs>
                <w:tab w:val="left" w:pos="780"/>
              </w:tabs>
              <w:spacing w:line="440" w:lineRule="exact"/>
              <w:ind w:firstLine="320" w:firstLineChars="100"/>
              <w:rPr>
                <w:rFonts w:ascii="仿宋" w:hAnsi="仿宋" w:eastAsia="仿宋"/>
                <w:sz w:val="24"/>
              </w:rPr>
            </w:pPr>
            <w:r>
              <w:rPr>
                <w:rFonts w:hint="eastAsia" w:ascii="宋体" w:hAnsi="宋体" w:cs="宋体"/>
                <w:sz w:val="32"/>
              </w:rPr>
              <w:t>□</w:t>
            </w:r>
            <w:r>
              <w:rPr>
                <w:rFonts w:hint="eastAsia" w:ascii="仿宋" w:hAnsi="仿宋" w:eastAsia="仿宋"/>
                <w:b/>
                <w:sz w:val="28"/>
                <w:szCs w:val="28"/>
              </w:rPr>
              <w:t xml:space="preserve"> 5.</w:t>
            </w:r>
            <w:r>
              <w:rPr>
                <w:rFonts w:hint="eastAsia" w:ascii="仿宋" w:hAnsi="仿宋" w:eastAsia="仿宋"/>
                <w:b/>
                <w:sz w:val="30"/>
                <w:szCs w:val="30"/>
              </w:rPr>
              <w:t>代理公司证件：</w:t>
            </w:r>
            <w:r>
              <w:rPr>
                <w:rFonts w:hint="eastAsia" w:ascii="仿宋" w:hAnsi="仿宋" w:eastAsia="仿宋"/>
                <w:sz w:val="24"/>
              </w:rPr>
              <w:t>经营许可证、营业执照。</w:t>
            </w:r>
          </w:p>
          <w:p w14:paraId="60DC3753">
            <w:pPr>
              <w:tabs>
                <w:tab w:val="left" w:pos="780"/>
              </w:tabs>
              <w:spacing w:line="440" w:lineRule="exact"/>
              <w:ind w:firstLine="753" w:firstLineChars="250"/>
              <w:rPr>
                <w:rFonts w:ascii="仿宋" w:hAnsi="仿宋" w:eastAsia="仿宋"/>
                <w:b/>
                <w:sz w:val="30"/>
                <w:szCs w:val="30"/>
              </w:rPr>
            </w:pPr>
            <w:r>
              <w:rPr>
                <w:rFonts w:ascii="仿宋" w:hAnsi="仿宋" w:eastAsia="仿宋"/>
                <w:b/>
                <w:sz w:val="30"/>
                <w:szCs w:val="30"/>
              </w:rPr>
              <w:t>6</w:t>
            </w:r>
            <w:r>
              <w:rPr>
                <w:rFonts w:hint="eastAsia" w:ascii="仿宋" w:hAnsi="仿宋" w:eastAsia="仿宋"/>
                <w:b/>
                <w:sz w:val="30"/>
                <w:szCs w:val="30"/>
              </w:rPr>
              <w:t>.授权书：</w:t>
            </w:r>
          </w:p>
          <w:p w14:paraId="53B01312">
            <w:pPr>
              <w:tabs>
                <w:tab w:val="left" w:pos="780"/>
              </w:tabs>
              <w:spacing w:line="440" w:lineRule="exact"/>
              <w:ind w:firstLine="320" w:firstLineChars="100"/>
              <w:rPr>
                <w:rFonts w:ascii="仿宋" w:hAnsi="仿宋" w:eastAsia="仿宋"/>
                <w:sz w:val="24"/>
              </w:rPr>
            </w:pPr>
            <w:r>
              <w:rPr>
                <w:rFonts w:hint="eastAsia" w:ascii="宋体" w:hAnsi="宋体" w:cs="宋体"/>
                <w:sz w:val="32"/>
              </w:rPr>
              <w:t>□</w:t>
            </w:r>
            <w:r>
              <w:rPr>
                <w:rFonts w:hint="eastAsia" w:ascii="仿宋" w:hAnsi="仿宋" w:eastAsia="仿宋"/>
                <w:sz w:val="24"/>
              </w:rPr>
              <w:t>（1）厂家给销售公司的授权书（有效期至</w:t>
            </w:r>
            <w:r>
              <w:rPr>
                <w:rFonts w:hint="eastAsia" w:ascii="仿宋" w:hAnsi="仿宋" w:eastAsia="仿宋"/>
                <w:sz w:val="24"/>
                <w:u w:val="single"/>
              </w:rPr>
              <w:t xml:space="preserve">                  </w:t>
            </w:r>
            <w:r>
              <w:rPr>
                <w:rFonts w:hint="eastAsia" w:ascii="仿宋" w:hAnsi="仿宋" w:eastAsia="仿宋"/>
                <w:sz w:val="24"/>
              </w:rPr>
              <w:t>）（要求半年以上）</w:t>
            </w:r>
          </w:p>
          <w:p w14:paraId="38DE5948">
            <w:pPr>
              <w:tabs>
                <w:tab w:val="left" w:pos="780"/>
              </w:tabs>
              <w:spacing w:line="440" w:lineRule="exact"/>
              <w:ind w:firstLine="320" w:firstLineChars="100"/>
              <w:rPr>
                <w:rFonts w:ascii="仿宋" w:hAnsi="仿宋" w:eastAsia="仿宋"/>
                <w:sz w:val="24"/>
              </w:rPr>
            </w:pPr>
            <w:r>
              <w:rPr>
                <w:rFonts w:hint="eastAsia" w:ascii="宋体" w:hAnsi="宋体" w:cs="宋体"/>
                <w:sz w:val="32"/>
              </w:rPr>
              <w:t>□</w:t>
            </w:r>
            <w:r>
              <w:rPr>
                <w:rFonts w:hint="eastAsia" w:ascii="仿宋" w:hAnsi="仿宋" w:eastAsia="仿宋"/>
                <w:sz w:val="24"/>
              </w:rPr>
              <w:t>（2）销售公司给业务员的授权书及身份证复印件</w:t>
            </w:r>
          </w:p>
          <w:p w14:paraId="0C51C261">
            <w:pPr>
              <w:tabs>
                <w:tab w:val="left" w:pos="780"/>
              </w:tabs>
              <w:spacing w:line="440" w:lineRule="exact"/>
              <w:ind w:firstLine="320" w:firstLineChars="100"/>
              <w:rPr>
                <w:rFonts w:ascii="仿宋" w:hAnsi="仿宋" w:eastAsia="仿宋"/>
                <w:sz w:val="28"/>
                <w:szCs w:val="28"/>
              </w:rPr>
            </w:pPr>
            <w:r>
              <w:rPr>
                <w:rFonts w:hint="eastAsia" w:ascii="宋体" w:hAnsi="宋体" w:cs="宋体"/>
                <w:sz w:val="32"/>
              </w:rPr>
              <w:t>□</w:t>
            </w:r>
            <w:r>
              <w:rPr>
                <w:rFonts w:hint="eastAsia" w:ascii="仿宋" w:hAnsi="仿宋" w:eastAsia="仿宋"/>
                <w:sz w:val="32"/>
              </w:rPr>
              <w:t xml:space="preserve"> </w:t>
            </w:r>
            <w:r>
              <w:rPr>
                <w:rFonts w:hint="eastAsia" w:ascii="仿宋" w:hAnsi="仿宋" w:eastAsia="仿宋"/>
                <w:b/>
                <w:sz w:val="30"/>
                <w:szCs w:val="30"/>
              </w:rPr>
              <w:t>7.设备详细技术参数</w:t>
            </w:r>
            <w:r>
              <w:rPr>
                <w:rFonts w:hint="eastAsia" w:ascii="仿宋" w:hAnsi="仿宋" w:eastAsia="仿宋"/>
                <w:b/>
                <w:sz w:val="30"/>
                <w:szCs w:val="30"/>
                <w:lang w:val="en-US" w:eastAsia="zh-CN"/>
              </w:rPr>
              <w:t>响应表（模板）</w:t>
            </w:r>
            <w:r>
              <w:rPr>
                <w:rFonts w:hint="eastAsia" w:ascii="仿宋" w:hAnsi="仿宋" w:eastAsia="仿宋"/>
                <w:b/>
                <w:sz w:val="30"/>
                <w:szCs w:val="30"/>
              </w:rPr>
              <w:t>。</w:t>
            </w:r>
          </w:p>
          <w:p w14:paraId="49921C70">
            <w:pPr>
              <w:tabs>
                <w:tab w:val="left" w:pos="780"/>
              </w:tabs>
              <w:spacing w:line="440" w:lineRule="exact"/>
              <w:ind w:firstLine="320" w:firstLineChars="100"/>
              <w:rPr>
                <w:rFonts w:ascii="仿宋" w:hAnsi="仿宋" w:eastAsia="仿宋"/>
                <w:sz w:val="24"/>
              </w:rPr>
            </w:pPr>
            <w:r>
              <w:rPr>
                <w:rFonts w:hint="eastAsia" w:ascii="宋体" w:hAnsi="宋体" w:cs="宋体"/>
                <w:sz w:val="32"/>
              </w:rPr>
              <w:t>□</w:t>
            </w:r>
            <w:r>
              <w:rPr>
                <w:rFonts w:hint="eastAsia" w:ascii="仿宋" w:hAnsi="仿宋" w:eastAsia="仿宋"/>
                <w:sz w:val="32"/>
              </w:rPr>
              <w:t xml:space="preserve"> </w:t>
            </w:r>
            <w:r>
              <w:rPr>
                <w:rFonts w:hint="eastAsia" w:ascii="仿宋" w:hAnsi="仿宋" w:eastAsia="仿宋"/>
                <w:b/>
                <w:sz w:val="30"/>
                <w:szCs w:val="30"/>
              </w:rPr>
              <w:t>8.设备完整配置清单。</w:t>
            </w:r>
          </w:p>
          <w:p w14:paraId="228CAD16">
            <w:pPr>
              <w:tabs>
                <w:tab w:val="left" w:pos="780"/>
              </w:tabs>
              <w:spacing w:line="440" w:lineRule="exact"/>
              <w:ind w:firstLine="320" w:firstLineChars="100"/>
              <w:rPr>
                <w:rFonts w:ascii="仿宋" w:hAnsi="仿宋" w:eastAsia="仿宋"/>
                <w:b/>
                <w:sz w:val="30"/>
                <w:szCs w:val="30"/>
                <w:u w:val="single"/>
              </w:rPr>
            </w:pPr>
            <w:r>
              <w:rPr>
                <w:rFonts w:hint="eastAsia" w:ascii="宋体" w:hAnsi="宋体" w:cs="宋体"/>
                <w:sz w:val="32"/>
              </w:rPr>
              <w:t>□</w:t>
            </w:r>
            <w:r>
              <w:rPr>
                <w:rFonts w:hint="eastAsia" w:ascii="仿宋" w:hAnsi="仿宋" w:eastAsia="仿宋"/>
                <w:sz w:val="32"/>
              </w:rPr>
              <w:t xml:space="preserve"> </w:t>
            </w:r>
            <w:r>
              <w:rPr>
                <w:rFonts w:hint="eastAsia" w:ascii="仿宋" w:hAnsi="仿宋" w:eastAsia="仿宋"/>
                <w:b/>
                <w:sz w:val="30"/>
                <w:szCs w:val="30"/>
              </w:rPr>
              <w:t>9.</w:t>
            </w:r>
            <w:r>
              <w:rPr>
                <w:rFonts w:hint="eastAsia" w:ascii="仿宋" w:hAnsi="仿宋" w:eastAsia="仿宋"/>
                <w:b/>
                <w:sz w:val="30"/>
                <w:szCs w:val="30"/>
                <w:u w:val="single"/>
              </w:rPr>
              <w:t>如设备不需配套耗材或试剂，请提供厂家出具不需专机专用耗材的保证函。</w:t>
            </w:r>
          </w:p>
          <w:p w14:paraId="699DBF18">
            <w:pPr>
              <w:tabs>
                <w:tab w:val="left" w:pos="780"/>
              </w:tabs>
              <w:spacing w:line="440" w:lineRule="exact"/>
              <w:ind w:firstLine="320" w:firstLineChars="100"/>
              <w:rPr>
                <w:rFonts w:ascii="仿宋" w:hAnsi="仿宋" w:eastAsia="仿宋"/>
                <w:b/>
                <w:sz w:val="28"/>
                <w:szCs w:val="28"/>
                <w:u w:val="single"/>
              </w:rPr>
            </w:pPr>
            <w:r>
              <w:rPr>
                <w:rFonts w:hint="eastAsia" w:ascii="宋体" w:hAnsi="宋体" w:cs="宋体"/>
                <w:sz w:val="32"/>
              </w:rPr>
              <w:t xml:space="preserve">□ </w:t>
            </w:r>
            <w:r>
              <w:rPr>
                <w:rFonts w:ascii="仿宋" w:hAnsi="仿宋" w:eastAsia="仿宋"/>
                <w:b/>
                <w:sz w:val="30"/>
                <w:szCs w:val="30"/>
              </w:rPr>
              <w:t>1</w:t>
            </w:r>
            <w:r>
              <w:rPr>
                <w:rFonts w:hint="eastAsia" w:ascii="仿宋" w:hAnsi="仿宋" w:eastAsia="仿宋"/>
                <w:b/>
                <w:sz w:val="30"/>
                <w:szCs w:val="30"/>
              </w:rPr>
              <w:t>0.</w:t>
            </w:r>
            <w:r>
              <w:rPr>
                <w:rFonts w:hint="eastAsia" w:ascii="仿宋" w:hAnsi="仿宋" w:eastAsia="仿宋"/>
                <w:b/>
                <w:sz w:val="30"/>
                <w:szCs w:val="30"/>
                <w:u w:val="single"/>
              </w:rPr>
              <w:t>如需使用配套耗材或试剂，请提供专用耗材或试剂产品报价表</w:t>
            </w:r>
            <w:r>
              <w:rPr>
                <w:rFonts w:hint="eastAsia" w:ascii="仿宋" w:hAnsi="仿宋" w:eastAsia="仿宋"/>
                <w:sz w:val="24"/>
              </w:rPr>
              <w:t>（包括：名称、规格/型号、厂家、注册证号及有效期、报价）。</w:t>
            </w:r>
          </w:p>
          <w:p w14:paraId="1330560B">
            <w:pPr>
              <w:tabs>
                <w:tab w:val="left" w:pos="780"/>
              </w:tabs>
              <w:spacing w:line="440" w:lineRule="exact"/>
              <w:ind w:firstLine="320" w:firstLineChars="100"/>
              <w:rPr>
                <w:rFonts w:ascii="仿宋" w:hAnsi="仿宋" w:eastAsia="仿宋"/>
                <w:b/>
                <w:bCs/>
                <w:sz w:val="28"/>
                <w:szCs w:val="28"/>
              </w:rPr>
            </w:pPr>
            <w:r>
              <w:rPr>
                <w:rFonts w:hint="eastAsia" w:ascii="宋体" w:hAnsi="宋体" w:cs="宋体"/>
                <w:sz w:val="32"/>
              </w:rPr>
              <w:t>□</w:t>
            </w:r>
            <w:r>
              <w:rPr>
                <w:rFonts w:hint="eastAsia" w:ascii="仿宋" w:hAnsi="仿宋" w:eastAsia="仿宋"/>
                <w:sz w:val="32"/>
              </w:rPr>
              <w:t xml:space="preserve"> </w:t>
            </w:r>
            <w:r>
              <w:rPr>
                <w:rFonts w:ascii="仿宋" w:hAnsi="仿宋" w:eastAsia="仿宋"/>
                <w:b/>
                <w:sz w:val="30"/>
                <w:szCs w:val="30"/>
              </w:rPr>
              <w:t>1</w:t>
            </w:r>
            <w:r>
              <w:rPr>
                <w:rFonts w:hint="eastAsia" w:ascii="仿宋" w:hAnsi="仿宋" w:eastAsia="仿宋"/>
                <w:b/>
                <w:sz w:val="30"/>
                <w:szCs w:val="30"/>
              </w:rPr>
              <w:t>1.专用耗材或试剂的产品注册证。</w:t>
            </w:r>
          </w:p>
          <w:p w14:paraId="05521562">
            <w:pPr>
              <w:tabs>
                <w:tab w:val="left" w:pos="780"/>
              </w:tabs>
              <w:spacing w:line="440" w:lineRule="exact"/>
              <w:ind w:firstLine="241" w:firstLineChars="100"/>
              <w:rPr>
                <w:rFonts w:cs="仿宋_GB2312" w:asciiTheme="minorEastAsia" w:hAnsiTheme="minorEastAsia"/>
                <w:b/>
                <w:bCs/>
                <w:sz w:val="24"/>
              </w:rPr>
            </w:pPr>
          </w:p>
        </w:tc>
      </w:tr>
    </w:tbl>
    <w:p w14:paraId="7A3CEF6B">
      <w:pPr>
        <w:tabs>
          <w:tab w:val="left" w:pos="780"/>
        </w:tabs>
        <w:spacing w:line="360" w:lineRule="exact"/>
        <w:ind w:left="282" w:leftChars="-405" w:right="-567" w:rightChars="-270" w:hanging="1132" w:hangingChars="472"/>
        <w:rPr>
          <w:rFonts w:ascii="仿宋" w:hAnsi="仿宋" w:eastAsia="仿宋"/>
          <w:sz w:val="24"/>
        </w:rPr>
      </w:pPr>
      <w:r>
        <w:rPr>
          <w:rFonts w:hint="eastAsia" w:ascii="仿宋" w:hAnsi="仿宋" w:eastAsia="仿宋"/>
          <w:sz w:val="24"/>
        </w:rPr>
        <w:t>填表说明：按照对应的清单准备资料，并在左边的</w:t>
      </w:r>
      <w:r>
        <w:rPr>
          <w:rFonts w:hint="eastAsia" w:ascii="宋体" w:hAnsi="宋体" w:cs="宋体"/>
          <w:sz w:val="32"/>
        </w:rPr>
        <w:t>□</w:t>
      </w:r>
      <w:r>
        <w:rPr>
          <w:rFonts w:hint="eastAsia" w:ascii="仿宋" w:hAnsi="仿宋" w:eastAsia="仿宋"/>
          <w:sz w:val="24"/>
        </w:rPr>
        <w:t>标“√”，提供虚假资料的后果自负。</w:t>
      </w:r>
    </w:p>
    <w:p w14:paraId="521C8249">
      <w:pPr>
        <w:tabs>
          <w:tab w:val="left" w:pos="780"/>
        </w:tabs>
        <w:spacing w:line="360" w:lineRule="exact"/>
        <w:ind w:left="1440" w:hanging="1440" w:hangingChars="600"/>
        <w:rPr>
          <w:rFonts w:ascii="仿宋" w:hAnsi="仿宋" w:eastAsia="仿宋"/>
          <w:sz w:val="24"/>
        </w:rPr>
      </w:pPr>
      <w:r>
        <w:rPr>
          <w:rFonts w:hint="eastAsia" w:ascii="仿宋" w:hAnsi="仿宋" w:eastAsia="仿宋"/>
          <w:sz w:val="24"/>
        </w:rPr>
        <w:t xml:space="preserve"> </w:t>
      </w:r>
      <w:r>
        <w:rPr>
          <w:rFonts w:ascii="仿宋" w:hAnsi="仿宋" w:eastAsia="仿宋"/>
          <w:sz w:val="24"/>
        </w:rPr>
        <w:t xml:space="preserve"> </w:t>
      </w:r>
      <w:r>
        <w:rPr>
          <w:rFonts w:ascii="仿宋" w:hAnsi="仿宋" w:eastAsia="仿宋"/>
          <w:sz w:val="24"/>
        </w:rPr>
        <w:br w:type="page"/>
      </w:r>
    </w:p>
    <w:p w14:paraId="5ABBF3BD">
      <w:pPr>
        <w:jc w:val="center"/>
        <w:rPr>
          <w:rFonts w:ascii="仿宋" w:hAnsi="仿宋" w:eastAsia="仿宋"/>
          <w:b/>
          <w:sz w:val="30"/>
          <w:szCs w:val="30"/>
        </w:rPr>
      </w:pPr>
      <w:r>
        <w:rPr>
          <w:rFonts w:hint="eastAsia" w:ascii="仿宋" w:hAnsi="仿宋" w:eastAsia="仿宋"/>
          <w:b/>
          <w:sz w:val="30"/>
          <w:szCs w:val="30"/>
          <w:lang w:val="en-US" w:eastAsia="zh-CN"/>
        </w:rPr>
        <w:t>1.</w:t>
      </w:r>
      <w:r>
        <w:rPr>
          <w:rFonts w:hint="eastAsia" w:ascii="仿宋" w:hAnsi="仿宋" w:eastAsia="仿宋"/>
          <w:b/>
          <w:sz w:val="30"/>
          <w:szCs w:val="30"/>
        </w:rPr>
        <w:t>设备报价表</w:t>
      </w:r>
    </w:p>
    <w:tbl>
      <w:tblPr>
        <w:tblStyle w:val="14"/>
        <w:tblW w:w="10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119"/>
        <w:gridCol w:w="1135"/>
        <w:gridCol w:w="1133"/>
        <w:gridCol w:w="851"/>
        <w:gridCol w:w="1134"/>
        <w:gridCol w:w="1134"/>
        <w:gridCol w:w="1134"/>
      </w:tblGrid>
      <w:tr w14:paraId="23C32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09" w:type="dxa"/>
            <w:vAlign w:val="center"/>
          </w:tcPr>
          <w:p w14:paraId="30F10A22">
            <w:pPr>
              <w:jc w:val="center"/>
              <w:rPr>
                <w:rFonts w:cs="仿宋_GB2312" w:asciiTheme="minorEastAsia" w:hAnsiTheme="minorEastAsia"/>
                <w:bCs/>
                <w:sz w:val="24"/>
              </w:rPr>
            </w:pPr>
            <w:r>
              <w:rPr>
                <w:rFonts w:hint="eastAsia" w:cs="仿宋_GB2312" w:asciiTheme="minorEastAsia" w:hAnsiTheme="minorEastAsia"/>
                <w:bCs/>
                <w:sz w:val="24"/>
              </w:rPr>
              <w:t>序号</w:t>
            </w:r>
          </w:p>
        </w:tc>
        <w:tc>
          <w:tcPr>
            <w:tcW w:w="3119" w:type="dxa"/>
            <w:vAlign w:val="center"/>
          </w:tcPr>
          <w:p w14:paraId="5BE90FCB">
            <w:pPr>
              <w:jc w:val="center"/>
              <w:rPr>
                <w:rFonts w:cs="仿宋_GB2312" w:asciiTheme="minorEastAsia" w:hAnsiTheme="minorEastAsia"/>
                <w:bCs/>
                <w:sz w:val="24"/>
              </w:rPr>
            </w:pPr>
            <w:r>
              <w:rPr>
                <w:rFonts w:hint="eastAsia" w:cs="仿宋_GB2312" w:asciiTheme="minorEastAsia" w:hAnsiTheme="minorEastAsia"/>
                <w:bCs/>
                <w:sz w:val="24"/>
              </w:rPr>
              <w:t>设备名称</w:t>
            </w:r>
          </w:p>
        </w:tc>
        <w:tc>
          <w:tcPr>
            <w:tcW w:w="1135" w:type="dxa"/>
            <w:vAlign w:val="center"/>
          </w:tcPr>
          <w:p w14:paraId="332505F1">
            <w:pPr>
              <w:jc w:val="center"/>
              <w:rPr>
                <w:rFonts w:cs="仿宋_GB2312" w:asciiTheme="minorEastAsia" w:hAnsiTheme="minorEastAsia"/>
                <w:bCs/>
                <w:sz w:val="24"/>
              </w:rPr>
            </w:pPr>
            <w:r>
              <w:rPr>
                <w:rFonts w:hint="eastAsia" w:cs="仿宋_GB2312" w:asciiTheme="minorEastAsia" w:hAnsiTheme="minorEastAsia"/>
                <w:bCs/>
                <w:sz w:val="24"/>
              </w:rPr>
              <w:t>品牌</w:t>
            </w:r>
          </w:p>
        </w:tc>
        <w:tc>
          <w:tcPr>
            <w:tcW w:w="1133" w:type="dxa"/>
            <w:vAlign w:val="center"/>
          </w:tcPr>
          <w:p w14:paraId="1DE5F145">
            <w:pPr>
              <w:jc w:val="center"/>
              <w:rPr>
                <w:rFonts w:cs="仿宋_GB2312" w:asciiTheme="minorEastAsia" w:hAnsiTheme="minorEastAsia"/>
                <w:bCs/>
                <w:sz w:val="24"/>
              </w:rPr>
            </w:pPr>
            <w:r>
              <w:rPr>
                <w:rFonts w:hint="eastAsia" w:cs="仿宋_GB2312" w:asciiTheme="minorEastAsia" w:hAnsiTheme="minorEastAsia"/>
                <w:bCs/>
                <w:sz w:val="24"/>
              </w:rPr>
              <w:t>型号</w:t>
            </w:r>
          </w:p>
        </w:tc>
        <w:tc>
          <w:tcPr>
            <w:tcW w:w="851" w:type="dxa"/>
            <w:vAlign w:val="center"/>
          </w:tcPr>
          <w:p w14:paraId="6485113D">
            <w:pPr>
              <w:jc w:val="center"/>
              <w:rPr>
                <w:rFonts w:cs="仿宋_GB2312" w:asciiTheme="minorEastAsia" w:hAnsiTheme="minorEastAsia"/>
                <w:bCs/>
                <w:sz w:val="24"/>
              </w:rPr>
            </w:pPr>
            <w:r>
              <w:rPr>
                <w:rFonts w:hint="eastAsia" w:cs="仿宋_GB2312" w:asciiTheme="minorEastAsia" w:hAnsiTheme="minorEastAsia"/>
                <w:bCs/>
                <w:sz w:val="24"/>
              </w:rPr>
              <w:t>数量</w:t>
            </w:r>
          </w:p>
        </w:tc>
        <w:tc>
          <w:tcPr>
            <w:tcW w:w="1134" w:type="dxa"/>
            <w:vAlign w:val="center"/>
          </w:tcPr>
          <w:p w14:paraId="3EC1035A">
            <w:pPr>
              <w:jc w:val="center"/>
              <w:rPr>
                <w:rFonts w:cs="仿宋_GB2312" w:asciiTheme="minorEastAsia" w:hAnsiTheme="minorEastAsia"/>
                <w:bCs/>
                <w:sz w:val="24"/>
              </w:rPr>
            </w:pPr>
            <w:r>
              <w:rPr>
                <w:rFonts w:hint="eastAsia" w:cs="仿宋_GB2312" w:asciiTheme="minorEastAsia" w:hAnsiTheme="minorEastAsia"/>
                <w:bCs/>
                <w:sz w:val="24"/>
              </w:rPr>
              <w:t>单价</w:t>
            </w:r>
          </w:p>
          <w:p w14:paraId="4BB94388">
            <w:pPr>
              <w:jc w:val="center"/>
              <w:rPr>
                <w:rFonts w:cs="仿宋_GB2312" w:asciiTheme="minorEastAsia" w:hAnsiTheme="minorEastAsia"/>
                <w:bCs/>
                <w:sz w:val="24"/>
              </w:rPr>
            </w:pPr>
            <w:r>
              <w:rPr>
                <w:rFonts w:hint="eastAsia" w:cs="仿宋_GB2312" w:asciiTheme="minorEastAsia" w:hAnsiTheme="minorEastAsia"/>
                <w:bCs/>
                <w:sz w:val="24"/>
              </w:rPr>
              <w:t>（万元）</w:t>
            </w:r>
          </w:p>
        </w:tc>
        <w:tc>
          <w:tcPr>
            <w:tcW w:w="1134" w:type="dxa"/>
            <w:vAlign w:val="center"/>
          </w:tcPr>
          <w:p w14:paraId="77789124">
            <w:pPr>
              <w:jc w:val="center"/>
              <w:rPr>
                <w:rFonts w:cs="仿宋_GB2312" w:asciiTheme="minorEastAsia" w:hAnsiTheme="minorEastAsia"/>
                <w:bCs/>
                <w:sz w:val="24"/>
              </w:rPr>
            </w:pPr>
            <w:r>
              <w:rPr>
                <w:rFonts w:hint="eastAsia" w:cs="仿宋_GB2312" w:asciiTheme="minorEastAsia" w:hAnsiTheme="minorEastAsia"/>
                <w:bCs/>
                <w:sz w:val="24"/>
              </w:rPr>
              <w:t>总价</w:t>
            </w:r>
          </w:p>
          <w:p w14:paraId="2669AFB6">
            <w:pPr>
              <w:jc w:val="center"/>
              <w:rPr>
                <w:rFonts w:cs="仿宋_GB2312" w:asciiTheme="minorEastAsia" w:hAnsiTheme="minorEastAsia"/>
                <w:bCs/>
                <w:sz w:val="24"/>
              </w:rPr>
            </w:pPr>
            <w:r>
              <w:rPr>
                <w:rFonts w:hint="eastAsia" w:cs="仿宋_GB2312" w:asciiTheme="minorEastAsia" w:hAnsiTheme="minorEastAsia"/>
                <w:bCs/>
                <w:sz w:val="24"/>
              </w:rPr>
              <w:t>（万元）</w:t>
            </w:r>
          </w:p>
        </w:tc>
        <w:tc>
          <w:tcPr>
            <w:tcW w:w="1134" w:type="dxa"/>
            <w:vAlign w:val="center"/>
          </w:tcPr>
          <w:p w14:paraId="60341C73">
            <w:pPr>
              <w:jc w:val="center"/>
              <w:rPr>
                <w:rFonts w:cs="仿宋_GB2312" w:asciiTheme="minorEastAsia" w:hAnsiTheme="minorEastAsia"/>
                <w:bCs/>
                <w:sz w:val="24"/>
              </w:rPr>
            </w:pPr>
            <w:r>
              <w:rPr>
                <w:rFonts w:hint="eastAsia" w:cs="仿宋_GB2312" w:asciiTheme="minorEastAsia" w:hAnsiTheme="minorEastAsia"/>
                <w:sz w:val="24"/>
              </w:rPr>
              <w:t>质保期（年）</w:t>
            </w:r>
          </w:p>
        </w:tc>
      </w:tr>
      <w:tr w14:paraId="3ACDC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09" w:type="dxa"/>
            <w:vAlign w:val="center"/>
          </w:tcPr>
          <w:p w14:paraId="191C6B7B">
            <w:pPr>
              <w:jc w:val="center"/>
              <w:rPr>
                <w:rFonts w:cs="仿宋_GB2312" w:asciiTheme="minorEastAsia" w:hAnsiTheme="minorEastAsia"/>
                <w:bCs/>
                <w:sz w:val="24"/>
              </w:rPr>
            </w:pPr>
          </w:p>
        </w:tc>
        <w:tc>
          <w:tcPr>
            <w:tcW w:w="3119" w:type="dxa"/>
            <w:vAlign w:val="center"/>
          </w:tcPr>
          <w:p w14:paraId="5F83137D">
            <w:pPr>
              <w:jc w:val="center"/>
              <w:rPr>
                <w:rFonts w:cs="仿宋_GB2312" w:asciiTheme="minorEastAsia" w:hAnsiTheme="minorEastAsia"/>
                <w:bCs/>
                <w:sz w:val="24"/>
              </w:rPr>
            </w:pPr>
          </w:p>
        </w:tc>
        <w:tc>
          <w:tcPr>
            <w:tcW w:w="1135" w:type="dxa"/>
            <w:vAlign w:val="center"/>
          </w:tcPr>
          <w:p w14:paraId="0DC25975">
            <w:pPr>
              <w:jc w:val="center"/>
              <w:rPr>
                <w:rFonts w:cs="仿宋_GB2312" w:asciiTheme="minorEastAsia" w:hAnsiTheme="minorEastAsia"/>
                <w:bCs/>
                <w:sz w:val="24"/>
              </w:rPr>
            </w:pPr>
          </w:p>
        </w:tc>
        <w:tc>
          <w:tcPr>
            <w:tcW w:w="1133" w:type="dxa"/>
            <w:vAlign w:val="center"/>
          </w:tcPr>
          <w:p w14:paraId="58CAD633">
            <w:pPr>
              <w:jc w:val="center"/>
              <w:rPr>
                <w:rFonts w:cs="仿宋_GB2312" w:asciiTheme="minorEastAsia" w:hAnsiTheme="minorEastAsia"/>
                <w:bCs/>
                <w:sz w:val="24"/>
              </w:rPr>
            </w:pPr>
          </w:p>
        </w:tc>
        <w:tc>
          <w:tcPr>
            <w:tcW w:w="851" w:type="dxa"/>
            <w:vAlign w:val="center"/>
          </w:tcPr>
          <w:p w14:paraId="518F1772">
            <w:pPr>
              <w:jc w:val="center"/>
              <w:rPr>
                <w:rFonts w:cs="仿宋_GB2312" w:asciiTheme="minorEastAsia" w:hAnsiTheme="minorEastAsia"/>
                <w:bCs/>
                <w:sz w:val="24"/>
              </w:rPr>
            </w:pPr>
          </w:p>
        </w:tc>
        <w:tc>
          <w:tcPr>
            <w:tcW w:w="1134" w:type="dxa"/>
            <w:vAlign w:val="center"/>
          </w:tcPr>
          <w:p w14:paraId="76C4B178">
            <w:pPr>
              <w:jc w:val="center"/>
              <w:rPr>
                <w:rFonts w:cs="仿宋_GB2312" w:asciiTheme="minorEastAsia" w:hAnsiTheme="minorEastAsia"/>
                <w:bCs/>
                <w:sz w:val="24"/>
              </w:rPr>
            </w:pPr>
          </w:p>
        </w:tc>
        <w:tc>
          <w:tcPr>
            <w:tcW w:w="1134" w:type="dxa"/>
            <w:vAlign w:val="center"/>
          </w:tcPr>
          <w:p w14:paraId="31138F49">
            <w:pPr>
              <w:jc w:val="center"/>
              <w:rPr>
                <w:rFonts w:cs="仿宋_GB2312" w:asciiTheme="minorEastAsia" w:hAnsiTheme="minorEastAsia"/>
                <w:bCs/>
                <w:sz w:val="24"/>
              </w:rPr>
            </w:pPr>
          </w:p>
        </w:tc>
        <w:tc>
          <w:tcPr>
            <w:tcW w:w="1134" w:type="dxa"/>
            <w:vAlign w:val="center"/>
          </w:tcPr>
          <w:p w14:paraId="1F62A755">
            <w:pPr>
              <w:jc w:val="center"/>
              <w:rPr>
                <w:rFonts w:cs="仿宋_GB2312" w:asciiTheme="minorEastAsia" w:hAnsiTheme="minorEastAsia"/>
                <w:bCs/>
                <w:sz w:val="24"/>
              </w:rPr>
            </w:pPr>
          </w:p>
        </w:tc>
      </w:tr>
      <w:tr w14:paraId="07E1C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09" w:type="dxa"/>
            <w:vAlign w:val="center"/>
          </w:tcPr>
          <w:p w14:paraId="4147A805">
            <w:pPr>
              <w:jc w:val="center"/>
              <w:rPr>
                <w:rFonts w:cs="仿宋_GB2312" w:asciiTheme="minorEastAsia" w:hAnsiTheme="minorEastAsia"/>
                <w:bCs/>
                <w:sz w:val="24"/>
              </w:rPr>
            </w:pPr>
          </w:p>
        </w:tc>
        <w:tc>
          <w:tcPr>
            <w:tcW w:w="3119" w:type="dxa"/>
            <w:vAlign w:val="center"/>
          </w:tcPr>
          <w:p w14:paraId="500FCD72">
            <w:pPr>
              <w:jc w:val="center"/>
              <w:rPr>
                <w:rFonts w:cs="仿宋_GB2312" w:asciiTheme="minorEastAsia" w:hAnsiTheme="minorEastAsia"/>
                <w:bCs/>
                <w:sz w:val="24"/>
              </w:rPr>
            </w:pPr>
            <w:r>
              <w:rPr>
                <w:rFonts w:cs="仿宋_GB2312" w:asciiTheme="minorEastAsia" w:hAnsiTheme="minorEastAsia"/>
                <w:bCs/>
                <w:sz w:val="24"/>
              </w:rPr>
              <w:t>……</w:t>
            </w:r>
          </w:p>
        </w:tc>
        <w:tc>
          <w:tcPr>
            <w:tcW w:w="1135" w:type="dxa"/>
            <w:vAlign w:val="center"/>
          </w:tcPr>
          <w:p w14:paraId="58CFD4CD">
            <w:pPr>
              <w:jc w:val="center"/>
              <w:rPr>
                <w:rFonts w:cs="仿宋_GB2312" w:asciiTheme="minorEastAsia" w:hAnsiTheme="minorEastAsia"/>
                <w:bCs/>
                <w:sz w:val="24"/>
              </w:rPr>
            </w:pPr>
          </w:p>
        </w:tc>
        <w:tc>
          <w:tcPr>
            <w:tcW w:w="1133" w:type="dxa"/>
            <w:vAlign w:val="center"/>
          </w:tcPr>
          <w:p w14:paraId="759D96AA">
            <w:pPr>
              <w:jc w:val="center"/>
              <w:rPr>
                <w:rFonts w:cs="仿宋_GB2312" w:asciiTheme="minorEastAsia" w:hAnsiTheme="minorEastAsia"/>
                <w:bCs/>
                <w:sz w:val="24"/>
              </w:rPr>
            </w:pPr>
          </w:p>
        </w:tc>
        <w:tc>
          <w:tcPr>
            <w:tcW w:w="851" w:type="dxa"/>
            <w:vAlign w:val="center"/>
          </w:tcPr>
          <w:p w14:paraId="0005D3C8">
            <w:pPr>
              <w:jc w:val="center"/>
              <w:rPr>
                <w:rFonts w:cs="仿宋_GB2312" w:asciiTheme="minorEastAsia" w:hAnsiTheme="minorEastAsia"/>
                <w:bCs/>
                <w:sz w:val="24"/>
              </w:rPr>
            </w:pPr>
          </w:p>
        </w:tc>
        <w:tc>
          <w:tcPr>
            <w:tcW w:w="1134" w:type="dxa"/>
            <w:vAlign w:val="center"/>
          </w:tcPr>
          <w:p w14:paraId="4E4B5444">
            <w:pPr>
              <w:jc w:val="center"/>
              <w:rPr>
                <w:rFonts w:cs="仿宋_GB2312" w:asciiTheme="minorEastAsia" w:hAnsiTheme="minorEastAsia"/>
                <w:bCs/>
                <w:sz w:val="24"/>
              </w:rPr>
            </w:pPr>
          </w:p>
        </w:tc>
        <w:tc>
          <w:tcPr>
            <w:tcW w:w="1134" w:type="dxa"/>
            <w:vAlign w:val="center"/>
          </w:tcPr>
          <w:p w14:paraId="05F28CE1">
            <w:pPr>
              <w:jc w:val="center"/>
              <w:rPr>
                <w:rFonts w:cs="仿宋_GB2312" w:asciiTheme="minorEastAsia" w:hAnsiTheme="minorEastAsia"/>
                <w:bCs/>
                <w:sz w:val="24"/>
              </w:rPr>
            </w:pPr>
          </w:p>
        </w:tc>
        <w:tc>
          <w:tcPr>
            <w:tcW w:w="1134" w:type="dxa"/>
            <w:vAlign w:val="center"/>
          </w:tcPr>
          <w:p w14:paraId="33E38114">
            <w:pPr>
              <w:jc w:val="center"/>
              <w:rPr>
                <w:rFonts w:cs="仿宋_GB2312" w:asciiTheme="minorEastAsia" w:hAnsiTheme="minorEastAsia"/>
                <w:bCs/>
                <w:sz w:val="24"/>
              </w:rPr>
            </w:pPr>
          </w:p>
        </w:tc>
      </w:tr>
      <w:tr w14:paraId="7E563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349" w:type="dxa"/>
            <w:gridSpan w:val="8"/>
            <w:vAlign w:val="center"/>
          </w:tcPr>
          <w:p w14:paraId="59A5395B">
            <w:pPr>
              <w:rPr>
                <w:rFonts w:cs="仿宋_GB2312" w:asciiTheme="minorEastAsia" w:hAnsiTheme="minorEastAsia"/>
                <w:bCs/>
                <w:sz w:val="24"/>
                <w:u w:val="single"/>
              </w:rPr>
            </w:pPr>
            <w:r>
              <w:rPr>
                <w:rFonts w:hint="eastAsia" w:cs="仿宋_GB2312" w:asciiTheme="minorEastAsia" w:hAnsiTheme="minorEastAsia"/>
                <w:bCs/>
                <w:sz w:val="24"/>
              </w:rPr>
              <w:t>合计：</w:t>
            </w:r>
            <w:r>
              <w:rPr>
                <w:rFonts w:hint="eastAsia" w:cs="仿宋_GB2312" w:asciiTheme="minorEastAsia" w:hAnsiTheme="minorEastAsia"/>
                <w:bCs/>
                <w:sz w:val="24"/>
                <w:u w:val="single"/>
              </w:rPr>
              <w:t xml:space="preserve">          </w:t>
            </w:r>
            <w:r>
              <w:rPr>
                <w:rFonts w:hint="eastAsia" w:cs="仿宋_GB2312" w:asciiTheme="minorEastAsia" w:hAnsiTheme="minorEastAsia"/>
                <w:bCs/>
                <w:sz w:val="24"/>
              </w:rPr>
              <w:t>元 （大写：                        ）</w:t>
            </w:r>
          </w:p>
        </w:tc>
      </w:tr>
    </w:tbl>
    <w:p w14:paraId="4F151D24">
      <w:pPr>
        <w:jc w:val="left"/>
        <w:rPr>
          <w:rFonts w:cs="仿宋_GB2312" w:asciiTheme="minorEastAsia" w:hAnsiTheme="minorEastAsia"/>
          <w:sz w:val="24"/>
        </w:rPr>
      </w:pPr>
    </w:p>
    <w:p w14:paraId="468DA2FA">
      <w:pPr>
        <w:jc w:val="left"/>
        <w:rPr>
          <w:rFonts w:cs="仿宋_GB2312" w:asciiTheme="minorEastAsia" w:hAnsiTheme="minorEastAsia"/>
          <w:sz w:val="24"/>
        </w:rPr>
      </w:pPr>
    </w:p>
    <w:p w14:paraId="2F336C03">
      <w:pPr>
        <w:jc w:val="left"/>
        <w:rPr>
          <w:rFonts w:cs="仿宋_GB2312" w:asciiTheme="minorEastAsia" w:hAnsiTheme="minorEastAsia"/>
          <w:sz w:val="24"/>
        </w:rPr>
      </w:pPr>
    </w:p>
    <w:p w14:paraId="4768CCA8">
      <w:pPr>
        <w:jc w:val="left"/>
        <w:rPr>
          <w:rFonts w:cs="仿宋_GB2312" w:asciiTheme="minorEastAsia" w:hAnsiTheme="minorEastAsia"/>
          <w:sz w:val="24"/>
        </w:rPr>
      </w:pPr>
    </w:p>
    <w:p w14:paraId="291CEB23">
      <w:pPr>
        <w:jc w:val="left"/>
        <w:rPr>
          <w:rFonts w:cs="仿宋_GB2312" w:asciiTheme="minorEastAsia" w:hAnsiTheme="minorEastAsia"/>
          <w:sz w:val="24"/>
        </w:rPr>
      </w:pPr>
    </w:p>
    <w:p w14:paraId="0B37F2A7">
      <w:pPr>
        <w:jc w:val="left"/>
        <w:rPr>
          <w:rFonts w:cs="仿宋_GB2312" w:asciiTheme="minorEastAsia" w:hAnsiTheme="minorEastAsia"/>
          <w:sz w:val="24"/>
        </w:rPr>
      </w:pPr>
      <w:r>
        <w:rPr>
          <w:rFonts w:hint="eastAsia" w:cs="仿宋_GB2312" w:asciiTheme="minorEastAsia" w:hAnsiTheme="minorEastAsia"/>
          <w:sz w:val="24"/>
        </w:rPr>
        <w:t>报价单位（公章）：</w:t>
      </w:r>
    </w:p>
    <w:p w14:paraId="61C23AB9">
      <w:pPr>
        <w:jc w:val="left"/>
        <w:rPr>
          <w:rFonts w:cs="仿宋_GB2312" w:asciiTheme="minorEastAsia" w:hAnsiTheme="minorEastAsia"/>
          <w:sz w:val="24"/>
        </w:rPr>
      </w:pPr>
    </w:p>
    <w:p w14:paraId="508390BD">
      <w:pPr>
        <w:tabs>
          <w:tab w:val="left" w:pos="780"/>
        </w:tabs>
        <w:spacing w:line="360" w:lineRule="auto"/>
        <w:jc w:val="left"/>
        <w:rPr>
          <w:rFonts w:cs="仿宋_GB2312" w:asciiTheme="minorEastAsia" w:hAnsiTheme="minorEastAsia"/>
          <w:sz w:val="24"/>
        </w:rPr>
      </w:pPr>
      <w:r>
        <w:rPr>
          <w:rFonts w:hint="eastAsia" w:cs="仿宋_GB2312" w:asciiTheme="minorEastAsia" w:hAnsiTheme="minorEastAsia"/>
          <w:sz w:val="24"/>
        </w:rPr>
        <w:t>日期：</w:t>
      </w:r>
    </w:p>
    <w:p w14:paraId="29E26FF6">
      <w:pPr>
        <w:pStyle w:val="19"/>
        <w:spacing w:line="360" w:lineRule="auto"/>
        <w:rPr>
          <w:rFonts w:hint="default"/>
        </w:rPr>
      </w:pPr>
    </w:p>
    <w:p w14:paraId="01C1CA62">
      <w:pPr>
        <w:pStyle w:val="19"/>
        <w:spacing w:line="360" w:lineRule="auto"/>
        <w:rPr>
          <w:rFonts w:hint="default"/>
        </w:rPr>
      </w:pPr>
    </w:p>
    <w:p w14:paraId="2C598C2C">
      <w:pPr>
        <w:pStyle w:val="19"/>
        <w:spacing w:line="360" w:lineRule="auto"/>
        <w:rPr>
          <w:rFonts w:hint="default"/>
        </w:rPr>
      </w:pPr>
    </w:p>
    <w:p w14:paraId="104E1E5A">
      <w:pPr>
        <w:pStyle w:val="19"/>
        <w:spacing w:line="360" w:lineRule="auto"/>
        <w:rPr>
          <w:rFonts w:hint="default"/>
        </w:rPr>
      </w:pPr>
    </w:p>
    <w:p w14:paraId="5B88FCE4">
      <w:pPr>
        <w:pStyle w:val="19"/>
        <w:spacing w:line="360" w:lineRule="auto"/>
        <w:rPr>
          <w:rFonts w:hint="default"/>
        </w:rPr>
      </w:pPr>
    </w:p>
    <w:p w14:paraId="14D442D9">
      <w:pPr>
        <w:pStyle w:val="19"/>
        <w:spacing w:line="360" w:lineRule="auto"/>
        <w:rPr>
          <w:rFonts w:hint="default"/>
        </w:rPr>
      </w:pPr>
    </w:p>
    <w:p w14:paraId="16C100C2">
      <w:pPr>
        <w:pStyle w:val="19"/>
        <w:spacing w:line="360" w:lineRule="auto"/>
        <w:rPr>
          <w:rFonts w:hint="default"/>
        </w:rPr>
      </w:pPr>
    </w:p>
    <w:p w14:paraId="2ABF3368">
      <w:pPr>
        <w:pStyle w:val="19"/>
        <w:spacing w:line="360" w:lineRule="auto"/>
        <w:rPr>
          <w:rFonts w:hint="default"/>
        </w:rPr>
      </w:pPr>
    </w:p>
    <w:p w14:paraId="44654013">
      <w:pPr>
        <w:pStyle w:val="19"/>
        <w:spacing w:line="360" w:lineRule="auto"/>
        <w:rPr>
          <w:rFonts w:hint="default"/>
        </w:rPr>
      </w:pPr>
    </w:p>
    <w:p w14:paraId="2B019574">
      <w:pPr>
        <w:pStyle w:val="19"/>
        <w:spacing w:line="360" w:lineRule="auto"/>
        <w:rPr>
          <w:rFonts w:hint="default"/>
        </w:rPr>
      </w:pPr>
    </w:p>
    <w:p w14:paraId="5BAADC4B">
      <w:pPr>
        <w:pStyle w:val="19"/>
        <w:spacing w:line="360" w:lineRule="auto"/>
        <w:rPr>
          <w:rFonts w:hint="default"/>
        </w:rPr>
      </w:pPr>
    </w:p>
    <w:p w14:paraId="7E7D3514">
      <w:pPr>
        <w:pStyle w:val="19"/>
        <w:spacing w:line="360" w:lineRule="auto"/>
        <w:rPr>
          <w:rFonts w:hint="default"/>
        </w:rPr>
      </w:pPr>
    </w:p>
    <w:p w14:paraId="13FD39C4">
      <w:pPr>
        <w:pStyle w:val="19"/>
        <w:spacing w:line="360" w:lineRule="auto"/>
        <w:rPr>
          <w:rFonts w:hint="default"/>
        </w:rPr>
      </w:pPr>
    </w:p>
    <w:p w14:paraId="4CE5C961">
      <w:pPr>
        <w:pStyle w:val="19"/>
        <w:spacing w:line="360" w:lineRule="auto"/>
        <w:rPr>
          <w:rFonts w:hint="default"/>
        </w:rPr>
      </w:pPr>
    </w:p>
    <w:p w14:paraId="4D525941">
      <w:pPr>
        <w:pStyle w:val="19"/>
        <w:spacing w:line="360" w:lineRule="auto"/>
        <w:rPr>
          <w:rFonts w:hint="default"/>
        </w:rPr>
      </w:pPr>
    </w:p>
    <w:p w14:paraId="6AD25C44">
      <w:pPr>
        <w:pStyle w:val="19"/>
        <w:spacing w:line="360" w:lineRule="auto"/>
        <w:rPr>
          <w:rFonts w:hint="default"/>
        </w:rPr>
      </w:pPr>
    </w:p>
    <w:p w14:paraId="0C3A6BD3">
      <w:pPr>
        <w:pStyle w:val="19"/>
        <w:spacing w:line="360" w:lineRule="auto"/>
        <w:jc w:val="center"/>
        <w:rPr>
          <w:rFonts w:hint="eastAsia" w:eastAsiaTheme="minorEastAsia"/>
          <w:lang w:val="en-US" w:eastAsia="zh-CN"/>
        </w:rPr>
      </w:pPr>
      <w:r>
        <w:rPr>
          <w:rFonts w:hint="eastAsia" w:ascii="仿宋" w:hAnsi="仿宋" w:eastAsia="仿宋"/>
          <w:b/>
          <w:sz w:val="30"/>
          <w:szCs w:val="30"/>
          <w:lang w:val="en-US" w:eastAsia="zh-CN"/>
        </w:rPr>
        <w:t>7.</w:t>
      </w:r>
      <w:r>
        <w:rPr>
          <w:rFonts w:hint="eastAsia" w:ascii="仿宋" w:hAnsi="仿宋" w:eastAsia="仿宋"/>
          <w:b/>
          <w:sz w:val="30"/>
          <w:szCs w:val="30"/>
        </w:rPr>
        <w:t>设备详细技术参数</w:t>
      </w:r>
      <w:r>
        <w:rPr>
          <w:rFonts w:hint="eastAsia" w:ascii="仿宋" w:hAnsi="仿宋" w:eastAsia="仿宋"/>
          <w:b/>
          <w:sz w:val="30"/>
          <w:szCs w:val="30"/>
          <w:lang w:val="en-US" w:eastAsia="zh-CN"/>
        </w:rPr>
        <w:t>响应表</w:t>
      </w:r>
    </w:p>
    <w:tbl>
      <w:tblPr>
        <w:tblStyle w:val="1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57"/>
        <w:gridCol w:w="578"/>
        <w:gridCol w:w="4566"/>
        <w:gridCol w:w="1368"/>
        <w:gridCol w:w="1453"/>
      </w:tblGrid>
      <w:tr w14:paraId="0C374B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vAlign w:val="center"/>
          </w:tcPr>
          <w:p w14:paraId="62C1FFB9">
            <w:pPr>
              <w:pStyle w:val="19"/>
              <w:spacing w:line="276" w:lineRule="auto"/>
              <w:jc w:val="center"/>
              <w:rPr>
                <w:rFonts w:hint="default"/>
              </w:rPr>
            </w:pPr>
            <w:r>
              <w:t>参数性质</w:t>
            </w:r>
          </w:p>
        </w:tc>
        <w:tc>
          <w:tcPr>
            <w:tcW w:w="694" w:type="dxa"/>
            <w:vAlign w:val="center"/>
          </w:tcPr>
          <w:p w14:paraId="76C57D8E">
            <w:pPr>
              <w:pStyle w:val="19"/>
              <w:spacing w:line="276" w:lineRule="auto"/>
              <w:jc w:val="center"/>
              <w:rPr>
                <w:rFonts w:hint="default"/>
              </w:rPr>
            </w:pPr>
            <w:r>
              <w:t>序号</w:t>
            </w:r>
          </w:p>
        </w:tc>
        <w:tc>
          <w:tcPr>
            <w:tcW w:w="3030" w:type="dxa"/>
            <w:vAlign w:val="center"/>
          </w:tcPr>
          <w:p w14:paraId="045DD20D">
            <w:pPr>
              <w:pStyle w:val="19"/>
              <w:spacing w:line="276" w:lineRule="auto"/>
              <w:jc w:val="center"/>
              <w:rPr>
                <w:rFonts w:hint="default"/>
              </w:rPr>
            </w:pPr>
            <w:r>
              <w:t>参数要求</w:t>
            </w:r>
          </w:p>
        </w:tc>
        <w:tc>
          <w:tcPr>
            <w:tcW w:w="2067" w:type="dxa"/>
            <w:vAlign w:val="center"/>
          </w:tcPr>
          <w:p w14:paraId="72015F32">
            <w:pPr>
              <w:pStyle w:val="19"/>
              <w:spacing w:line="276" w:lineRule="auto"/>
              <w:jc w:val="center"/>
              <w:rPr>
                <w:rFonts w:hint="default" w:eastAsiaTheme="minorEastAsia"/>
                <w:lang w:val="en-US" w:eastAsia="zh-CN"/>
              </w:rPr>
            </w:pPr>
            <w:r>
              <w:rPr>
                <w:rFonts w:hint="eastAsia"/>
                <w:lang w:val="en-US" w:eastAsia="zh-CN"/>
              </w:rPr>
              <w:t>投标参数</w:t>
            </w:r>
          </w:p>
        </w:tc>
        <w:tc>
          <w:tcPr>
            <w:tcW w:w="2067" w:type="dxa"/>
            <w:vAlign w:val="center"/>
          </w:tcPr>
          <w:p w14:paraId="0A3A2158">
            <w:pPr>
              <w:pStyle w:val="19"/>
              <w:spacing w:line="276" w:lineRule="auto"/>
              <w:jc w:val="center"/>
              <w:rPr>
                <w:rFonts w:hint="default"/>
                <w:lang w:val="en-US" w:eastAsia="zh-CN"/>
              </w:rPr>
            </w:pPr>
            <w:r>
              <w:rPr>
                <w:rFonts w:hint="eastAsia"/>
                <w:lang w:val="en-US" w:eastAsia="zh-CN"/>
              </w:rPr>
              <w:t>参数响应（正偏离/无偏离/负偏离）</w:t>
            </w:r>
          </w:p>
        </w:tc>
      </w:tr>
      <w:tr w14:paraId="16A4D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5A88C189">
            <w:pPr>
              <w:pStyle w:val="19"/>
              <w:spacing w:line="276" w:lineRule="auto"/>
              <w:jc w:val="center"/>
              <w:rPr>
                <w:rFonts w:hint="eastAsia" w:eastAsia="宋体" w:asciiTheme="minorHAnsi" w:hAnsiTheme="minorHAnsi" w:cstheme="minorBidi"/>
                <w:lang w:val="en-US" w:eastAsia="zh-CN" w:bidi="ar-SA"/>
              </w:rPr>
            </w:pPr>
          </w:p>
        </w:tc>
        <w:tc>
          <w:tcPr>
            <w:tcW w:w="694" w:type="dxa"/>
            <w:shd w:val="clear" w:color="auto" w:fill="auto"/>
            <w:vAlign w:val="center"/>
          </w:tcPr>
          <w:p w14:paraId="6C5A81C6">
            <w:pPr>
              <w:pStyle w:val="19"/>
              <w:spacing w:line="276" w:lineRule="auto"/>
              <w:jc w:val="center"/>
              <w:rPr>
                <w:rFonts w:hint="default" w:asciiTheme="minorHAnsi" w:hAnsiTheme="minorHAnsi" w:eastAsiaTheme="minorEastAsia" w:cstheme="minorBidi"/>
                <w:lang w:val="en-US" w:eastAsia="zh-Hans" w:bidi="ar-SA"/>
              </w:rPr>
            </w:pPr>
            <w:r>
              <w:t>1</w:t>
            </w:r>
          </w:p>
        </w:tc>
        <w:tc>
          <w:tcPr>
            <w:tcW w:w="3030" w:type="dxa"/>
            <w:shd w:val="clear" w:color="auto" w:fill="auto"/>
            <w:vAlign w:val="center"/>
          </w:tcPr>
          <w:p w14:paraId="6E2DEE3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pacing w:val="0"/>
                <w:kern w:val="0"/>
                <w:sz w:val="20"/>
                <w:szCs w:val="24"/>
                <w:lang w:val="en-US" w:eastAsia="zh-CN" w:bidi="ar-SA"/>
              </w:rPr>
            </w:pPr>
            <w:r>
              <w:rPr>
                <w:rFonts w:hint="eastAsia" w:ascii="新宋体" w:hAnsi="新宋体" w:eastAsia="新宋体" w:cs="Arial Unicode MS"/>
                <w:szCs w:val="21"/>
              </w:rPr>
              <w:t>为电泳提供一个稳定的电压、电流或功率</w:t>
            </w:r>
          </w:p>
        </w:tc>
        <w:tc>
          <w:tcPr>
            <w:tcW w:w="2067" w:type="dxa"/>
            <w:vAlign w:val="center"/>
          </w:tcPr>
          <w:p w14:paraId="71817E06">
            <w:pPr>
              <w:pStyle w:val="27"/>
              <w:keepNext w:val="0"/>
              <w:keepLines w:val="0"/>
              <w:pageBreakBefore w:val="0"/>
              <w:widowControl w:val="0"/>
              <w:kinsoku/>
              <w:wordWrap/>
              <w:overflowPunct/>
              <w:topLinePunct w:val="0"/>
              <w:autoSpaceDE/>
              <w:autoSpaceDN/>
              <w:bidi w:val="0"/>
              <w:adjustRightInd w:val="0"/>
              <w:snapToGrid w:val="0"/>
              <w:spacing w:line="360" w:lineRule="auto"/>
              <w:textAlignment w:val="auto"/>
              <w:rPr>
                <w:spacing w:val="21"/>
                <w:sz w:val="24"/>
                <w:szCs w:val="32"/>
              </w:rPr>
            </w:pPr>
          </w:p>
        </w:tc>
        <w:tc>
          <w:tcPr>
            <w:tcW w:w="2067" w:type="dxa"/>
            <w:vAlign w:val="center"/>
          </w:tcPr>
          <w:p w14:paraId="25622145">
            <w:pPr>
              <w:pStyle w:val="27"/>
              <w:keepNext w:val="0"/>
              <w:keepLines w:val="0"/>
              <w:pageBreakBefore w:val="0"/>
              <w:widowControl w:val="0"/>
              <w:kinsoku/>
              <w:wordWrap/>
              <w:overflowPunct/>
              <w:topLinePunct w:val="0"/>
              <w:autoSpaceDE/>
              <w:autoSpaceDN/>
              <w:bidi w:val="0"/>
              <w:adjustRightInd w:val="0"/>
              <w:snapToGrid w:val="0"/>
              <w:spacing w:line="360" w:lineRule="auto"/>
              <w:textAlignment w:val="auto"/>
              <w:rPr>
                <w:spacing w:val="21"/>
                <w:sz w:val="24"/>
                <w:szCs w:val="32"/>
              </w:rPr>
            </w:pPr>
          </w:p>
        </w:tc>
      </w:tr>
      <w:tr w14:paraId="618B0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61C7D8CD">
            <w:pPr>
              <w:pStyle w:val="19"/>
              <w:spacing w:line="276" w:lineRule="auto"/>
              <w:jc w:val="both"/>
              <w:rPr>
                <w:rFonts w:hint="eastAsia" w:eastAsia="宋体" w:asciiTheme="minorHAnsi" w:hAnsiTheme="minorHAnsi" w:cstheme="minorBidi"/>
                <w:lang w:val="en-US" w:eastAsia="zh-CN" w:bidi="ar-SA"/>
              </w:rPr>
            </w:pPr>
          </w:p>
        </w:tc>
        <w:tc>
          <w:tcPr>
            <w:tcW w:w="694" w:type="dxa"/>
            <w:shd w:val="clear" w:color="auto" w:fill="auto"/>
            <w:vAlign w:val="center"/>
          </w:tcPr>
          <w:p w14:paraId="7BEC3DA8">
            <w:pPr>
              <w:pStyle w:val="19"/>
              <w:spacing w:line="276" w:lineRule="auto"/>
              <w:jc w:val="center"/>
              <w:rPr>
                <w:rFonts w:hint="default" w:asciiTheme="minorHAnsi" w:hAnsiTheme="minorHAnsi" w:eastAsiaTheme="minorEastAsia" w:cstheme="minorBidi"/>
                <w:lang w:val="en-US" w:eastAsia="zh-Hans" w:bidi="ar-SA"/>
              </w:rPr>
            </w:pPr>
            <w:r>
              <w:t>2</w:t>
            </w:r>
          </w:p>
        </w:tc>
        <w:tc>
          <w:tcPr>
            <w:tcW w:w="3030" w:type="dxa"/>
            <w:shd w:val="clear" w:color="auto" w:fill="auto"/>
            <w:vAlign w:val="center"/>
          </w:tcPr>
          <w:p w14:paraId="0EFE8A75">
            <w:pPr>
              <w:numPr>
                <w:ilvl w:val="0"/>
                <w:numId w:val="0"/>
              </w:numPr>
              <w:spacing w:line="276" w:lineRule="auto"/>
              <w:ind w:left="0" w:leftChars="0" w:firstLine="0" w:firstLineChars="0"/>
              <w:jc w:val="both"/>
              <w:rPr>
                <w:rFonts w:hint="default" w:ascii="宋体" w:hAnsi="宋体" w:eastAsia="宋体" w:cs="宋体"/>
                <w:spacing w:val="0"/>
                <w:kern w:val="0"/>
                <w:sz w:val="20"/>
                <w:szCs w:val="24"/>
                <w:lang w:val="en-US" w:eastAsia="zh-Hans" w:bidi="ar-SA"/>
              </w:rPr>
            </w:pPr>
            <w:r>
              <w:rPr>
                <w:rFonts w:hint="eastAsia" w:ascii="新宋体" w:hAnsi="新宋体" w:eastAsia="新宋体" w:cs="Arial Unicode MS"/>
                <w:szCs w:val="21"/>
              </w:rPr>
              <w:t>能设定电泳的时间</w:t>
            </w:r>
          </w:p>
        </w:tc>
        <w:tc>
          <w:tcPr>
            <w:tcW w:w="2067" w:type="dxa"/>
            <w:vAlign w:val="center"/>
          </w:tcPr>
          <w:p w14:paraId="3DFE4310">
            <w:pPr>
              <w:pStyle w:val="19"/>
              <w:spacing w:line="276" w:lineRule="auto"/>
              <w:jc w:val="both"/>
              <w:rPr>
                <w:spacing w:val="16"/>
                <w:sz w:val="24"/>
                <w:szCs w:val="32"/>
              </w:rPr>
            </w:pPr>
          </w:p>
        </w:tc>
        <w:tc>
          <w:tcPr>
            <w:tcW w:w="2067" w:type="dxa"/>
            <w:vAlign w:val="center"/>
          </w:tcPr>
          <w:p w14:paraId="48E04F39">
            <w:pPr>
              <w:pStyle w:val="19"/>
              <w:spacing w:line="276" w:lineRule="auto"/>
              <w:jc w:val="both"/>
              <w:rPr>
                <w:spacing w:val="16"/>
                <w:sz w:val="24"/>
                <w:szCs w:val="32"/>
              </w:rPr>
            </w:pPr>
          </w:p>
        </w:tc>
      </w:tr>
      <w:tr w14:paraId="7C0587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325BE445">
            <w:pPr>
              <w:pStyle w:val="19"/>
              <w:spacing w:line="276" w:lineRule="auto"/>
              <w:jc w:val="center"/>
              <w:rPr>
                <w:rFonts w:hint="eastAsia" w:ascii="宋体" w:hAnsi="宋体" w:eastAsia="宋体" w:cs="宋体"/>
                <w:sz w:val="21"/>
                <w:szCs w:val="21"/>
                <w:lang w:val="en-US" w:eastAsia="zh-Hans" w:bidi="ar-SA"/>
              </w:rPr>
            </w:pPr>
            <w:r>
              <w:t>★</w:t>
            </w:r>
          </w:p>
        </w:tc>
        <w:tc>
          <w:tcPr>
            <w:tcW w:w="694" w:type="dxa"/>
            <w:shd w:val="clear" w:color="auto" w:fill="auto"/>
            <w:vAlign w:val="center"/>
          </w:tcPr>
          <w:p w14:paraId="3703A4B9">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3</w:t>
            </w:r>
          </w:p>
        </w:tc>
        <w:tc>
          <w:tcPr>
            <w:tcW w:w="3030" w:type="dxa"/>
            <w:shd w:val="clear" w:color="auto" w:fill="auto"/>
            <w:vAlign w:val="center"/>
          </w:tcPr>
          <w:p w14:paraId="54BD0431">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功率：1-75W，</w:t>
            </w:r>
          </w:p>
        </w:tc>
        <w:tc>
          <w:tcPr>
            <w:tcW w:w="2067" w:type="dxa"/>
            <w:vAlign w:val="center"/>
          </w:tcPr>
          <w:p w14:paraId="14CEEADD">
            <w:pPr>
              <w:pStyle w:val="27"/>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spacing w:val="18"/>
                <w:sz w:val="24"/>
                <w:szCs w:val="32"/>
              </w:rPr>
            </w:pPr>
          </w:p>
        </w:tc>
        <w:tc>
          <w:tcPr>
            <w:tcW w:w="2067" w:type="dxa"/>
            <w:vAlign w:val="center"/>
          </w:tcPr>
          <w:p w14:paraId="1FA1BC1E">
            <w:pPr>
              <w:pStyle w:val="27"/>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spacing w:val="18"/>
                <w:sz w:val="24"/>
                <w:szCs w:val="32"/>
              </w:rPr>
            </w:pPr>
          </w:p>
        </w:tc>
      </w:tr>
      <w:tr w14:paraId="7034AA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7B8BB8CF">
            <w:pPr>
              <w:pStyle w:val="19"/>
              <w:spacing w:line="276" w:lineRule="auto"/>
              <w:jc w:val="center"/>
              <w:rPr>
                <w:rFonts w:hint="eastAsia" w:ascii="宋体" w:hAnsi="宋体" w:eastAsia="宋体" w:cs="宋体"/>
                <w:sz w:val="21"/>
                <w:szCs w:val="21"/>
                <w:lang w:val="en-US" w:eastAsia="zh-Hans" w:bidi="ar-SA"/>
              </w:rPr>
            </w:pPr>
          </w:p>
        </w:tc>
        <w:tc>
          <w:tcPr>
            <w:tcW w:w="694" w:type="dxa"/>
            <w:shd w:val="clear" w:color="auto" w:fill="auto"/>
            <w:vAlign w:val="center"/>
          </w:tcPr>
          <w:p w14:paraId="0DB5DFD6">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4</w:t>
            </w:r>
          </w:p>
        </w:tc>
        <w:tc>
          <w:tcPr>
            <w:tcW w:w="3030" w:type="dxa"/>
            <w:shd w:val="clear" w:color="auto" w:fill="auto"/>
            <w:vAlign w:val="center"/>
          </w:tcPr>
          <w:p w14:paraId="7098AEAF">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电压：10-300伏，</w:t>
            </w:r>
          </w:p>
        </w:tc>
        <w:tc>
          <w:tcPr>
            <w:tcW w:w="2067" w:type="dxa"/>
            <w:vAlign w:val="center"/>
          </w:tcPr>
          <w:p w14:paraId="0765D392">
            <w:pPr>
              <w:pStyle w:val="19"/>
              <w:spacing w:line="276" w:lineRule="auto"/>
              <w:jc w:val="both"/>
              <w:rPr>
                <w:spacing w:val="19"/>
                <w:sz w:val="24"/>
                <w:szCs w:val="32"/>
              </w:rPr>
            </w:pPr>
          </w:p>
        </w:tc>
        <w:tc>
          <w:tcPr>
            <w:tcW w:w="2067" w:type="dxa"/>
            <w:vAlign w:val="center"/>
          </w:tcPr>
          <w:p w14:paraId="269074BD">
            <w:pPr>
              <w:pStyle w:val="19"/>
              <w:spacing w:line="276" w:lineRule="auto"/>
              <w:jc w:val="both"/>
              <w:rPr>
                <w:spacing w:val="19"/>
                <w:sz w:val="24"/>
                <w:szCs w:val="32"/>
              </w:rPr>
            </w:pPr>
          </w:p>
        </w:tc>
      </w:tr>
      <w:tr w14:paraId="0C726C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2BD74AF7">
            <w:pPr>
              <w:pStyle w:val="19"/>
              <w:spacing w:line="276" w:lineRule="auto"/>
              <w:jc w:val="center"/>
              <w:rPr>
                <w:rFonts w:hint="eastAsia" w:ascii="宋体" w:hAnsi="宋体" w:eastAsia="宋体" w:cs="宋体"/>
                <w:sz w:val="21"/>
                <w:szCs w:val="21"/>
                <w:lang w:val="en-US" w:eastAsia="zh-Hans" w:bidi="ar-SA"/>
              </w:rPr>
            </w:pPr>
          </w:p>
        </w:tc>
        <w:tc>
          <w:tcPr>
            <w:tcW w:w="694" w:type="dxa"/>
            <w:shd w:val="clear" w:color="auto" w:fill="auto"/>
            <w:vAlign w:val="center"/>
          </w:tcPr>
          <w:p w14:paraId="58AE409E">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5</w:t>
            </w:r>
          </w:p>
        </w:tc>
        <w:tc>
          <w:tcPr>
            <w:tcW w:w="3030" w:type="dxa"/>
            <w:shd w:val="clear" w:color="auto" w:fill="auto"/>
            <w:vAlign w:val="center"/>
          </w:tcPr>
          <w:p w14:paraId="08E0C679">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电流：4-400mA，使用于水平电泳，小型的SDS-PAGE，印迹电泳等。</w:t>
            </w:r>
          </w:p>
        </w:tc>
        <w:tc>
          <w:tcPr>
            <w:tcW w:w="2067" w:type="dxa"/>
            <w:vAlign w:val="center"/>
          </w:tcPr>
          <w:p w14:paraId="7C233003">
            <w:pPr>
              <w:pStyle w:val="19"/>
              <w:spacing w:line="276" w:lineRule="auto"/>
              <w:jc w:val="both"/>
              <w:rPr>
                <w:spacing w:val="20"/>
                <w:sz w:val="24"/>
                <w:szCs w:val="32"/>
              </w:rPr>
            </w:pPr>
          </w:p>
        </w:tc>
        <w:tc>
          <w:tcPr>
            <w:tcW w:w="2067" w:type="dxa"/>
            <w:vAlign w:val="center"/>
          </w:tcPr>
          <w:p w14:paraId="753665E8">
            <w:pPr>
              <w:pStyle w:val="19"/>
              <w:spacing w:line="276" w:lineRule="auto"/>
              <w:jc w:val="both"/>
              <w:rPr>
                <w:spacing w:val="20"/>
                <w:sz w:val="24"/>
                <w:szCs w:val="32"/>
              </w:rPr>
            </w:pPr>
          </w:p>
        </w:tc>
      </w:tr>
      <w:tr w14:paraId="01FE27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73E259CD">
            <w:pPr>
              <w:pStyle w:val="19"/>
              <w:spacing w:line="276" w:lineRule="auto"/>
              <w:jc w:val="center"/>
              <w:rPr>
                <w:rFonts w:hint="eastAsia" w:ascii="宋体" w:hAnsi="宋体" w:eastAsia="宋体" w:cs="宋体"/>
                <w:sz w:val="21"/>
                <w:szCs w:val="21"/>
                <w:lang w:val="en-US" w:eastAsia="zh-Hans" w:bidi="ar-SA"/>
              </w:rPr>
            </w:pPr>
            <w:r>
              <w:t>★</w:t>
            </w:r>
          </w:p>
        </w:tc>
        <w:tc>
          <w:tcPr>
            <w:tcW w:w="694" w:type="dxa"/>
            <w:shd w:val="clear" w:color="auto" w:fill="auto"/>
            <w:vAlign w:val="center"/>
          </w:tcPr>
          <w:p w14:paraId="64AEDC25">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6</w:t>
            </w:r>
          </w:p>
        </w:tc>
        <w:tc>
          <w:tcPr>
            <w:tcW w:w="3030" w:type="dxa"/>
            <w:shd w:val="clear" w:color="auto" w:fill="auto"/>
            <w:vAlign w:val="center"/>
          </w:tcPr>
          <w:p w14:paraId="467E8C8E">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lang w:val="en-US" w:eastAsia="zh-CN"/>
              </w:rPr>
              <w:t>E符号的故障代码，提前评估仪器状态。</w:t>
            </w:r>
          </w:p>
        </w:tc>
        <w:tc>
          <w:tcPr>
            <w:tcW w:w="2067" w:type="dxa"/>
            <w:vAlign w:val="center"/>
          </w:tcPr>
          <w:p w14:paraId="0635B12A">
            <w:pPr>
              <w:pStyle w:val="19"/>
              <w:spacing w:line="276" w:lineRule="auto"/>
              <w:jc w:val="both"/>
              <w:rPr>
                <w:spacing w:val="19"/>
                <w:sz w:val="24"/>
                <w:szCs w:val="32"/>
              </w:rPr>
            </w:pPr>
          </w:p>
        </w:tc>
        <w:tc>
          <w:tcPr>
            <w:tcW w:w="2067" w:type="dxa"/>
            <w:vAlign w:val="center"/>
          </w:tcPr>
          <w:p w14:paraId="05B8030F">
            <w:pPr>
              <w:pStyle w:val="19"/>
              <w:spacing w:line="276" w:lineRule="auto"/>
              <w:jc w:val="both"/>
              <w:rPr>
                <w:spacing w:val="19"/>
                <w:sz w:val="24"/>
                <w:szCs w:val="32"/>
              </w:rPr>
            </w:pPr>
          </w:p>
        </w:tc>
      </w:tr>
      <w:tr w14:paraId="1C2582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2" w:hRule="atLeast"/>
        </w:trPr>
        <w:tc>
          <w:tcPr>
            <w:tcW w:w="661" w:type="dxa"/>
            <w:shd w:val="clear" w:color="auto" w:fill="auto"/>
            <w:vAlign w:val="center"/>
          </w:tcPr>
          <w:p w14:paraId="10EAF6F9">
            <w:pPr>
              <w:pStyle w:val="19"/>
              <w:spacing w:line="276" w:lineRule="auto"/>
              <w:jc w:val="center"/>
              <w:rPr>
                <w:rFonts w:hint="eastAsia" w:ascii="宋体" w:hAnsi="宋体" w:eastAsia="宋体" w:cs="宋体"/>
                <w:sz w:val="21"/>
                <w:szCs w:val="21"/>
                <w:lang w:val="en-US" w:eastAsia="zh-Hans" w:bidi="ar-SA"/>
              </w:rPr>
            </w:pPr>
            <w:r>
              <w:t>★</w:t>
            </w:r>
          </w:p>
        </w:tc>
        <w:tc>
          <w:tcPr>
            <w:tcW w:w="694" w:type="dxa"/>
            <w:shd w:val="clear" w:color="auto" w:fill="auto"/>
            <w:vAlign w:val="center"/>
          </w:tcPr>
          <w:p w14:paraId="1319665F">
            <w:pPr>
              <w:pStyle w:val="19"/>
              <w:spacing w:line="276" w:lineRule="auto"/>
              <w:jc w:val="center"/>
              <w:rPr>
                <w:rFonts w:hint="eastAsia" w:eastAsia="宋体" w:asciiTheme="minorHAnsi" w:hAnsiTheme="minorHAnsi" w:cstheme="minorBidi"/>
                <w:lang w:val="en-US" w:eastAsia="zh-CN" w:bidi="ar-SA"/>
              </w:rPr>
            </w:pPr>
            <w:r>
              <w:rPr>
                <w:rFonts w:hint="eastAsia"/>
                <w:lang w:val="en-US" w:eastAsia="zh-CN"/>
              </w:rPr>
              <w:t>7</w:t>
            </w:r>
          </w:p>
        </w:tc>
        <w:tc>
          <w:tcPr>
            <w:tcW w:w="3030" w:type="dxa"/>
            <w:shd w:val="clear" w:color="auto" w:fill="auto"/>
            <w:vAlign w:val="center"/>
          </w:tcPr>
          <w:p w14:paraId="529F1617">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Hans" w:bidi="ar-SA"/>
              </w:rPr>
            </w:pPr>
            <w:r>
              <w:rPr>
                <w:rFonts w:hint="eastAsia" w:ascii="新宋体" w:hAnsi="新宋体" w:eastAsia="新宋体" w:cs="Arial Unicode MS"/>
                <w:szCs w:val="21"/>
                <w:lang w:val="en-US" w:eastAsia="zh-CN"/>
              </w:rPr>
              <w:t>电源上有红黑标记，电源开关设置在右后侧，可提醒正确使用仪器、提高安全性。</w:t>
            </w:r>
          </w:p>
        </w:tc>
        <w:tc>
          <w:tcPr>
            <w:tcW w:w="2067" w:type="dxa"/>
            <w:vAlign w:val="center"/>
          </w:tcPr>
          <w:p w14:paraId="0EAB0AD4">
            <w:pPr>
              <w:pStyle w:val="19"/>
              <w:spacing w:line="276" w:lineRule="auto"/>
              <w:jc w:val="both"/>
              <w:rPr>
                <w:spacing w:val="14"/>
                <w:sz w:val="24"/>
                <w:szCs w:val="32"/>
              </w:rPr>
            </w:pPr>
          </w:p>
        </w:tc>
        <w:tc>
          <w:tcPr>
            <w:tcW w:w="2067" w:type="dxa"/>
            <w:vAlign w:val="center"/>
          </w:tcPr>
          <w:p w14:paraId="0A2AD241">
            <w:pPr>
              <w:pStyle w:val="19"/>
              <w:spacing w:line="276" w:lineRule="auto"/>
              <w:jc w:val="both"/>
              <w:rPr>
                <w:spacing w:val="14"/>
                <w:sz w:val="24"/>
                <w:szCs w:val="32"/>
              </w:rPr>
            </w:pPr>
          </w:p>
        </w:tc>
      </w:tr>
      <w:tr w14:paraId="2F8107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7C30CB65">
            <w:pPr>
              <w:pStyle w:val="19"/>
              <w:spacing w:line="276" w:lineRule="auto"/>
              <w:jc w:val="center"/>
              <w:rPr>
                <w:rFonts w:hint="eastAsia" w:ascii="宋体" w:hAnsi="宋体" w:eastAsia="宋体" w:cs="宋体"/>
                <w:sz w:val="21"/>
                <w:szCs w:val="21"/>
                <w:lang w:val="en-US" w:eastAsia="zh-Hans" w:bidi="ar-SA"/>
              </w:rPr>
            </w:pPr>
          </w:p>
        </w:tc>
        <w:tc>
          <w:tcPr>
            <w:tcW w:w="694" w:type="dxa"/>
            <w:shd w:val="clear" w:color="auto" w:fill="auto"/>
            <w:vAlign w:val="center"/>
          </w:tcPr>
          <w:p w14:paraId="09CF871C">
            <w:pPr>
              <w:pStyle w:val="19"/>
              <w:spacing w:line="276" w:lineRule="auto"/>
              <w:jc w:val="center"/>
              <w:rPr>
                <w:rFonts w:hint="default" w:eastAsia="宋体" w:asciiTheme="minorHAnsi" w:hAnsiTheme="minorHAnsi" w:cstheme="minorBidi"/>
                <w:lang w:val="en-US" w:eastAsia="zh-CN" w:bidi="ar-SA"/>
              </w:rPr>
            </w:pPr>
            <w:r>
              <w:rPr>
                <w:rFonts w:hint="eastAsia"/>
                <w:lang w:val="en-US" w:eastAsia="zh-CN"/>
              </w:rPr>
              <w:t>8</w:t>
            </w:r>
          </w:p>
        </w:tc>
        <w:tc>
          <w:tcPr>
            <w:tcW w:w="3030" w:type="dxa"/>
            <w:shd w:val="clear" w:color="auto" w:fill="auto"/>
            <w:vAlign w:val="center"/>
          </w:tcPr>
          <w:p w14:paraId="49B98E8D">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Hans" w:bidi="ar-SA"/>
              </w:rPr>
            </w:pPr>
            <w:r>
              <w:rPr>
                <w:rFonts w:hint="eastAsia" w:ascii="新宋体" w:hAnsi="新宋体" w:eastAsia="新宋体" w:cs="Arial Unicode MS"/>
                <w:szCs w:val="21"/>
              </w:rPr>
              <w:t>最大凝胶尺寸(W x L) 10 x 7.5 cm，凝胶容量2 块</w:t>
            </w:r>
          </w:p>
        </w:tc>
        <w:tc>
          <w:tcPr>
            <w:tcW w:w="2067" w:type="dxa"/>
            <w:vAlign w:val="center"/>
          </w:tcPr>
          <w:p w14:paraId="6B52369E">
            <w:pPr>
              <w:pStyle w:val="19"/>
              <w:spacing w:line="276" w:lineRule="auto"/>
              <w:jc w:val="both"/>
              <w:rPr>
                <w:spacing w:val="20"/>
                <w:sz w:val="24"/>
                <w:szCs w:val="32"/>
              </w:rPr>
            </w:pPr>
          </w:p>
        </w:tc>
        <w:tc>
          <w:tcPr>
            <w:tcW w:w="2067" w:type="dxa"/>
            <w:vAlign w:val="center"/>
          </w:tcPr>
          <w:p w14:paraId="09F6246C">
            <w:pPr>
              <w:pStyle w:val="19"/>
              <w:spacing w:line="276" w:lineRule="auto"/>
              <w:jc w:val="both"/>
              <w:rPr>
                <w:spacing w:val="20"/>
                <w:sz w:val="24"/>
                <w:szCs w:val="32"/>
              </w:rPr>
            </w:pPr>
          </w:p>
        </w:tc>
      </w:tr>
      <w:tr w14:paraId="11AC62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61" w:type="dxa"/>
            <w:shd w:val="clear" w:color="auto" w:fill="auto"/>
            <w:vAlign w:val="center"/>
          </w:tcPr>
          <w:p w14:paraId="63FB1E39">
            <w:pPr>
              <w:pStyle w:val="19"/>
              <w:spacing w:line="276" w:lineRule="auto"/>
              <w:jc w:val="both"/>
              <w:rPr>
                <w:rFonts w:hint="eastAsia" w:asciiTheme="minorHAnsi" w:hAnsiTheme="minorHAnsi" w:eastAsiaTheme="minorEastAsia" w:cstheme="minorBidi"/>
                <w:lang w:val="en-US" w:eastAsia="zh-Hans" w:bidi="ar-SA"/>
              </w:rPr>
            </w:pPr>
          </w:p>
        </w:tc>
        <w:tc>
          <w:tcPr>
            <w:tcW w:w="694" w:type="dxa"/>
            <w:shd w:val="clear" w:color="auto" w:fill="auto"/>
            <w:vAlign w:val="center"/>
          </w:tcPr>
          <w:p w14:paraId="02A4CE3B">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9</w:t>
            </w:r>
          </w:p>
        </w:tc>
        <w:tc>
          <w:tcPr>
            <w:tcW w:w="3030" w:type="dxa"/>
            <w:shd w:val="clear" w:color="auto" w:fill="auto"/>
            <w:vAlign w:val="center"/>
          </w:tcPr>
          <w:p w14:paraId="7E984E01">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缓冲液要求450 ml</w:t>
            </w:r>
          </w:p>
        </w:tc>
        <w:tc>
          <w:tcPr>
            <w:tcW w:w="2067" w:type="dxa"/>
            <w:vAlign w:val="center"/>
          </w:tcPr>
          <w:p w14:paraId="0EAC8070">
            <w:pPr>
              <w:pStyle w:val="19"/>
              <w:spacing w:line="276" w:lineRule="auto"/>
              <w:jc w:val="both"/>
              <w:rPr>
                <w:spacing w:val="17"/>
                <w:sz w:val="24"/>
                <w:szCs w:val="32"/>
              </w:rPr>
            </w:pPr>
          </w:p>
        </w:tc>
        <w:tc>
          <w:tcPr>
            <w:tcW w:w="2067" w:type="dxa"/>
            <w:vAlign w:val="center"/>
          </w:tcPr>
          <w:p w14:paraId="36916F16">
            <w:pPr>
              <w:pStyle w:val="19"/>
              <w:spacing w:line="276" w:lineRule="auto"/>
              <w:jc w:val="both"/>
              <w:rPr>
                <w:spacing w:val="17"/>
                <w:sz w:val="24"/>
                <w:szCs w:val="32"/>
              </w:rPr>
            </w:pPr>
          </w:p>
        </w:tc>
      </w:tr>
      <w:tr w14:paraId="5FBA7D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3F354659">
            <w:pPr>
              <w:pStyle w:val="19"/>
              <w:spacing w:line="276" w:lineRule="auto"/>
              <w:jc w:val="both"/>
              <w:rPr>
                <w:rFonts w:hint="eastAsia" w:asciiTheme="minorHAnsi" w:hAnsiTheme="minorHAnsi" w:eastAsiaTheme="minorEastAsia" w:cstheme="minorBidi"/>
                <w:lang w:val="en-US" w:eastAsia="zh-Hans" w:bidi="ar-SA"/>
              </w:rPr>
            </w:pPr>
          </w:p>
        </w:tc>
        <w:tc>
          <w:tcPr>
            <w:tcW w:w="0" w:type="auto"/>
            <w:shd w:val="clear" w:color="auto" w:fill="auto"/>
            <w:vAlign w:val="center"/>
          </w:tcPr>
          <w:p w14:paraId="34FE2348">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10</w:t>
            </w:r>
          </w:p>
        </w:tc>
        <w:tc>
          <w:tcPr>
            <w:tcW w:w="0" w:type="auto"/>
            <w:shd w:val="clear" w:color="auto" w:fill="auto"/>
            <w:vAlign w:val="center"/>
          </w:tcPr>
          <w:p w14:paraId="4D25B56E">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1小时内可同时转印2 块10 x 7.5 cm 凝胶；也可进行低强度的过夜转印</w:t>
            </w:r>
          </w:p>
        </w:tc>
        <w:tc>
          <w:tcPr>
            <w:tcW w:w="0" w:type="auto"/>
          </w:tcPr>
          <w:p w14:paraId="79FCC7CC">
            <w:pPr>
              <w:pStyle w:val="19"/>
              <w:spacing w:line="276" w:lineRule="auto"/>
              <w:jc w:val="both"/>
              <w:rPr>
                <w:spacing w:val="17"/>
                <w:sz w:val="24"/>
                <w:szCs w:val="32"/>
              </w:rPr>
            </w:pPr>
          </w:p>
        </w:tc>
        <w:tc>
          <w:tcPr>
            <w:tcW w:w="0" w:type="auto"/>
          </w:tcPr>
          <w:p w14:paraId="2A510ECB">
            <w:pPr>
              <w:pStyle w:val="19"/>
              <w:spacing w:line="276" w:lineRule="auto"/>
              <w:jc w:val="both"/>
              <w:rPr>
                <w:spacing w:val="17"/>
                <w:sz w:val="24"/>
                <w:szCs w:val="32"/>
              </w:rPr>
            </w:pPr>
          </w:p>
        </w:tc>
      </w:tr>
      <w:tr w14:paraId="038A21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501911D6">
            <w:pPr>
              <w:pStyle w:val="19"/>
              <w:spacing w:line="276" w:lineRule="auto"/>
              <w:jc w:val="center"/>
              <w:rPr>
                <w:rFonts w:hint="eastAsia" w:asciiTheme="minorHAnsi" w:hAnsiTheme="minorHAnsi" w:eastAsiaTheme="minorEastAsia" w:cstheme="minorBidi"/>
                <w:lang w:val="en-US" w:eastAsia="zh-Hans" w:bidi="ar-SA"/>
              </w:rPr>
            </w:pPr>
          </w:p>
        </w:tc>
        <w:tc>
          <w:tcPr>
            <w:tcW w:w="0" w:type="auto"/>
            <w:shd w:val="clear" w:color="auto" w:fill="auto"/>
            <w:vAlign w:val="center"/>
          </w:tcPr>
          <w:p w14:paraId="435C1B72">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11</w:t>
            </w:r>
          </w:p>
        </w:tc>
        <w:tc>
          <w:tcPr>
            <w:tcW w:w="0" w:type="auto"/>
            <w:shd w:val="clear" w:color="auto" w:fill="auto"/>
            <w:vAlign w:val="center"/>
          </w:tcPr>
          <w:p w14:paraId="3389D9E5">
            <w:pPr>
              <w:numPr>
                <w:ilvl w:val="0"/>
                <w:numId w:val="0"/>
              </w:numPr>
              <w:spacing w:line="276" w:lineRule="auto"/>
              <w:ind w:left="0" w:leftChars="0" w:firstLine="0" w:firstLineChars="0"/>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电极丝相距4cm，以产生强电场保证有效的蛋白转印</w:t>
            </w:r>
          </w:p>
        </w:tc>
        <w:tc>
          <w:tcPr>
            <w:tcW w:w="0" w:type="auto"/>
          </w:tcPr>
          <w:p w14:paraId="3AB451A9">
            <w:pPr>
              <w:pStyle w:val="19"/>
              <w:spacing w:line="276" w:lineRule="auto"/>
              <w:jc w:val="both"/>
              <w:rPr>
                <w:spacing w:val="17"/>
                <w:sz w:val="24"/>
                <w:szCs w:val="32"/>
              </w:rPr>
            </w:pPr>
          </w:p>
        </w:tc>
        <w:tc>
          <w:tcPr>
            <w:tcW w:w="0" w:type="auto"/>
          </w:tcPr>
          <w:p w14:paraId="6F5EBFBC">
            <w:pPr>
              <w:pStyle w:val="19"/>
              <w:spacing w:line="276" w:lineRule="auto"/>
              <w:jc w:val="both"/>
              <w:rPr>
                <w:spacing w:val="17"/>
                <w:sz w:val="24"/>
                <w:szCs w:val="32"/>
              </w:rPr>
            </w:pPr>
          </w:p>
        </w:tc>
      </w:tr>
      <w:tr w14:paraId="704C6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78432962">
            <w:pPr>
              <w:pStyle w:val="19"/>
              <w:spacing w:line="276" w:lineRule="auto"/>
              <w:jc w:val="center"/>
              <w:rPr>
                <w:rFonts w:hint="eastAsia" w:asciiTheme="minorHAnsi" w:hAnsiTheme="minorHAnsi" w:eastAsiaTheme="minorEastAsia" w:cstheme="minorBidi"/>
                <w:lang w:val="en-US" w:eastAsia="zh-Hans" w:bidi="ar-SA"/>
              </w:rPr>
            </w:pPr>
          </w:p>
        </w:tc>
        <w:tc>
          <w:tcPr>
            <w:tcW w:w="0" w:type="auto"/>
            <w:shd w:val="clear" w:color="auto" w:fill="auto"/>
            <w:vAlign w:val="center"/>
          </w:tcPr>
          <w:p w14:paraId="02D9E6FC">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12</w:t>
            </w:r>
          </w:p>
        </w:tc>
        <w:tc>
          <w:tcPr>
            <w:tcW w:w="0" w:type="auto"/>
            <w:shd w:val="clear" w:color="auto" w:fill="auto"/>
            <w:vAlign w:val="center"/>
          </w:tcPr>
          <w:p w14:paraId="5C9C42D9">
            <w:pPr>
              <w:spacing w:line="276" w:lineRule="auto"/>
              <w:jc w:val="both"/>
              <w:rPr>
                <w:rFonts w:hint="eastAsia" w:ascii="宋体" w:hAnsi="宋体" w:eastAsia="宋体" w:cs="宋体"/>
                <w:spacing w:val="0"/>
                <w:kern w:val="0"/>
                <w:sz w:val="20"/>
                <w:szCs w:val="24"/>
                <w:lang w:val="en-US" w:eastAsia="zh-CN" w:bidi="ar-SA"/>
              </w:rPr>
            </w:pPr>
            <w:r>
              <w:rPr>
                <w:rFonts w:hint="eastAsia" w:ascii="新宋体" w:hAnsi="新宋体" w:eastAsia="新宋体" w:cs="Arial Unicode MS"/>
                <w:szCs w:val="21"/>
              </w:rPr>
              <w:t>颜色标记的转印夹和电极，确保转印过程中凝胶的正确定向</w:t>
            </w:r>
          </w:p>
        </w:tc>
        <w:tc>
          <w:tcPr>
            <w:tcW w:w="0" w:type="auto"/>
          </w:tcPr>
          <w:p w14:paraId="7BEBB191">
            <w:pPr>
              <w:pStyle w:val="19"/>
              <w:spacing w:line="276" w:lineRule="auto"/>
              <w:jc w:val="both"/>
              <w:rPr>
                <w:spacing w:val="17"/>
                <w:sz w:val="24"/>
                <w:szCs w:val="32"/>
              </w:rPr>
            </w:pPr>
          </w:p>
        </w:tc>
        <w:tc>
          <w:tcPr>
            <w:tcW w:w="0" w:type="auto"/>
          </w:tcPr>
          <w:p w14:paraId="311160D4">
            <w:pPr>
              <w:pStyle w:val="19"/>
              <w:spacing w:line="276" w:lineRule="auto"/>
              <w:jc w:val="both"/>
              <w:rPr>
                <w:spacing w:val="17"/>
                <w:sz w:val="24"/>
                <w:szCs w:val="32"/>
              </w:rPr>
            </w:pPr>
          </w:p>
        </w:tc>
      </w:tr>
      <w:tr w14:paraId="4D90FB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319CD8E6">
            <w:pPr>
              <w:pStyle w:val="19"/>
              <w:spacing w:line="276" w:lineRule="auto"/>
              <w:jc w:val="center"/>
              <w:rPr>
                <w:rFonts w:hint="eastAsia" w:asciiTheme="minorHAnsi" w:hAnsiTheme="minorHAnsi" w:eastAsiaTheme="minorEastAsia" w:cstheme="minorBidi"/>
                <w:lang w:val="en-US" w:eastAsia="zh-Hans" w:bidi="ar-SA"/>
              </w:rPr>
            </w:pPr>
          </w:p>
        </w:tc>
        <w:tc>
          <w:tcPr>
            <w:tcW w:w="0" w:type="auto"/>
            <w:shd w:val="clear" w:color="auto" w:fill="auto"/>
            <w:vAlign w:val="center"/>
          </w:tcPr>
          <w:p w14:paraId="30E284D6">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13</w:t>
            </w:r>
          </w:p>
        </w:tc>
        <w:tc>
          <w:tcPr>
            <w:tcW w:w="0" w:type="auto"/>
            <w:shd w:val="clear" w:color="auto" w:fill="auto"/>
            <w:vAlign w:val="center"/>
          </w:tcPr>
          <w:p w14:paraId="0D5F60AF">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rPr>
              <w:t>内置冷却装置，可作为一个模块与电泳槽的缓冲液槽和盖兼容</w:t>
            </w:r>
          </w:p>
        </w:tc>
        <w:tc>
          <w:tcPr>
            <w:tcW w:w="0" w:type="auto"/>
          </w:tcPr>
          <w:p w14:paraId="5AFB6939">
            <w:pPr>
              <w:pStyle w:val="19"/>
              <w:spacing w:line="276" w:lineRule="auto"/>
              <w:jc w:val="both"/>
              <w:rPr>
                <w:spacing w:val="17"/>
                <w:sz w:val="24"/>
                <w:szCs w:val="32"/>
              </w:rPr>
            </w:pPr>
          </w:p>
        </w:tc>
        <w:tc>
          <w:tcPr>
            <w:tcW w:w="0" w:type="auto"/>
          </w:tcPr>
          <w:p w14:paraId="27142109">
            <w:pPr>
              <w:pStyle w:val="19"/>
              <w:spacing w:line="276" w:lineRule="auto"/>
              <w:jc w:val="both"/>
              <w:rPr>
                <w:spacing w:val="17"/>
                <w:sz w:val="24"/>
                <w:szCs w:val="32"/>
              </w:rPr>
            </w:pPr>
          </w:p>
        </w:tc>
      </w:tr>
      <w:tr w14:paraId="32BCE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4656122D">
            <w:pPr>
              <w:pStyle w:val="19"/>
              <w:spacing w:line="276" w:lineRule="auto"/>
              <w:jc w:val="center"/>
              <w:rPr>
                <w:rFonts w:hint="eastAsia" w:asciiTheme="minorHAnsi" w:hAnsiTheme="minorHAnsi" w:eastAsiaTheme="minorEastAsia" w:cstheme="minorBidi"/>
                <w:lang w:val="en-US" w:eastAsia="zh-Hans" w:bidi="ar-SA"/>
              </w:rPr>
            </w:pPr>
            <w:r>
              <w:t>★</w:t>
            </w:r>
          </w:p>
        </w:tc>
        <w:tc>
          <w:tcPr>
            <w:tcW w:w="0" w:type="auto"/>
            <w:shd w:val="clear" w:color="auto" w:fill="auto"/>
            <w:vAlign w:val="center"/>
          </w:tcPr>
          <w:p w14:paraId="690D5EB7">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14</w:t>
            </w:r>
          </w:p>
        </w:tc>
        <w:tc>
          <w:tcPr>
            <w:tcW w:w="0" w:type="auto"/>
            <w:shd w:val="clear" w:color="auto" w:fill="auto"/>
            <w:vAlign w:val="center"/>
          </w:tcPr>
          <w:p w14:paraId="518B45E2">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配置前处理lifete点动发生装置协同工作。</w:t>
            </w:r>
          </w:p>
        </w:tc>
        <w:tc>
          <w:tcPr>
            <w:tcW w:w="0" w:type="auto"/>
          </w:tcPr>
          <w:p w14:paraId="27DD25DE">
            <w:pPr>
              <w:pStyle w:val="19"/>
              <w:spacing w:line="276" w:lineRule="auto"/>
              <w:jc w:val="both"/>
              <w:rPr>
                <w:spacing w:val="17"/>
                <w:sz w:val="24"/>
                <w:szCs w:val="32"/>
              </w:rPr>
            </w:pPr>
          </w:p>
        </w:tc>
        <w:tc>
          <w:tcPr>
            <w:tcW w:w="0" w:type="auto"/>
          </w:tcPr>
          <w:p w14:paraId="44EA5B45">
            <w:pPr>
              <w:pStyle w:val="19"/>
              <w:spacing w:line="276" w:lineRule="auto"/>
              <w:jc w:val="both"/>
              <w:rPr>
                <w:spacing w:val="17"/>
                <w:sz w:val="24"/>
                <w:szCs w:val="32"/>
              </w:rPr>
            </w:pPr>
          </w:p>
        </w:tc>
      </w:tr>
      <w:tr w14:paraId="6B6930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5E38F884">
            <w:pPr>
              <w:pStyle w:val="19"/>
              <w:spacing w:line="276" w:lineRule="auto"/>
              <w:jc w:val="center"/>
              <w:rPr>
                <w:rFonts w:hint="eastAsia" w:asciiTheme="minorHAnsi" w:hAnsiTheme="minorHAnsi" w:eastAsiaTheme="minorEastAsia" w:cstheme="minorBidi"/>
                <w:lang w:val="en-US" w:eastAsia="zh-Hans" w:bidi="ar-SA"/>
              </w:rPr>
            </w:pPr>
            <w:r>
              <w:t>★</w:t>
            </w:r>
          </w:p>
        </w:tc>
        <w:tc>
          <w:tcPr>
            <w:tcW w:w="0" w:type="auto"/>
            <w:shd w:val="clear" w:color="auto" w:fill="auto"/>
            <w:vAlign w:val="center"/>
          </w:tcPr>
          <w:p w14:paraId="7BE57B46">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15</w:t>
            </w:r>
          </w:p>
        </w:tc>
        <w:tc>
          <w:tcPr>
            <w:tcW w:w="0" w:type="auto"/>
            <w:shd w:val="clear" w:color="auto" w:fill="auto"/>
            <w:vAlign w:val="center"/>
          </w:tcPr>
          <w:p w14:paraId="142465AF">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配置清单：电源一台，转印模块一套，lifete点动发生装置一套。</w:t>
            </w:r>
          </w:p>
        </w:tc>
        <w:tc>
          <w:tcPr>
            <w:tcW w:w="0" w:type="auto"/>
          </w:tcPr>
          <w:p w14:paraId="38B6326F">
            <w:pPr>
              <w:pStyle w:val="19"/>
              <w:spacing w:line="276" w:lineRule="auto"/>
              <w:jc w:val="both"/>
              <w:rPr>
                <w:spacing w:val="17"/>
                <w:sz w:val="24"/>
                <w:szCs w:val="32"/>
              </w:rPr>
            </w:pPr>
          </w:p>
        </w:tc>
        <w:tc>
          <w:tcPr>
            <w:tcW w:w="0" w:type="auto"/>
          </w:tcPr>
          <w:p w14:paraId="77F5205D">
            <w:pPr>
              <w:pStyle w:val="19"/>
              <w:spacing w:line="276" w:lineRule="auto"/>
              <w:jc w:val="both"/>
              <w:rPr>
                <w:spacing w:val="17"/>
                <w:sz w:val="24"/>
                <w:szCs w:val="32"/>
              </w:rPr>
            </w:pPr>
          </w:p>
        </w:tc>
      </w:tr>
      <w:tr w14:paraId="5AD9EF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03EF09EA">
            <w:pPr>
              <w:pStyle w:val="19"/>
              <w:spacing w:line="276" w:lineRule="auto"/>
              <w:jc w:val="center"/>
              <w:rPr>
                <w:rFonts w:hint="eastAsia" w:asciiTheme="minorHAnsi" w:hAnsiTheme="minorHAnsi" w:eastAsiaTheme="minorEastAsia" w:cstheme="minorBidi"/>
                <w:lang w:val="en-US" w:eastAsia="zh-Hans" w:bidi="ar-SA"/>
              </w:rPr>
            </w:pPr>
            <w:r>
              <w:t>★</w:t>
            </w:r>
          </w:p>
        </w:tc>
        <w:tc>
          <w:tcPr>
            <w:tcW w:w="0" w:type="auto"/>
            <w:shd w:val="clear" w:color="auto" w:fill="auto"/>
            <w:vAlign w:val="center"/>
          </w:tcPr>
          <w:p w14:paraId="59DDD12E">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16</w:t>
            </w:r>
          </w:p>
        </w:tc>
        <w:tc>
          <w:tcPr>
            <w:tcW w:w="0" w:type="auto"/>
            <w:shd w:val="clear" w:color="auto" w:fill="auto"/>
            <w:vAlign w:val="center"/>
          </w:tcPr>
          <w:p w14:paraId="04699D71">
            <w:pPr>
              <w:numPr>
                <w:ilvl w:val="0"/>
                <w:numId w:val="0"/>
              </w:numPr>
              <w:spacing w:line="276" w:lineRule="auto"/>
              <w:ind w:left="0" w:leftChars="0" w:firstLine="0" w:firstLineChars="0"/>
              <w:jc w:val="both"/>
              <w:rPr>
                <w:rFonts w:hint="eastAsia" w:ascii="宋体" w:hAnsi="宋体" w:cs="宋体" w:eastAsiaTheme="minorEastAsia"/>
                <w:kern w:val="2"/>
                <w:sz w:val="21"/>
                <w:szCs w:val="24"/>
                <w:lang w:val="en-US" w:eastAsia="zh-CN" w:bidi="ar-SA"/>
              </w:rPr>
            </w:pPr>
            <w:r>
              <w:rPr>
                <w:rFonts w:hint="eastAsia" w:ascii="新宋体" w:hAnsi="新宋体" w:eastAsia="新宋体" w:cs="Arial Unicode MS"/>
                <w:szCs w:val="21"/>
                <w:lang w:val="en-US" w:eastAsia="zh-CN"/>
              </w:rPr>
              <w:t>保修3年</w:t>
            </w:r>
          </w:p>
        </w:tc>
        <w:tc>
          <w:tcPr>
            <w:tcW w:w="0" w:type="auto"/>
          </w:tcPr>
          <w:p w14:paraId="1671CE9C">
            <w:pPr>
              <w:pStyle w:val="19"/>
              <w:spacing w:line="276" w:lineRule="auto"/>
              <w:jc w:val="both"/>
              <w:rPr>
                <w:spacing w:val="17"/>
                <w:sz w:val="24"/>
                <w:szCs w:val="32"/>
              </w:rPr>
            </w:pPr>
          </w:p>
        </w:tc>
        <w:tc>
          <w:tcPr>
            <w:tcW w:w="0" w:type="auto"/>
          </w:tcPr>
          <w:p w14:paraId="410DF55E">
            <w:pPr>
              <w:pStyle w:val="19"/>
              <w:spacing w:line="276" w:lineRule="auto"/>
              <w:jc w:val="both"/>
              <w:rPr>
                <w:spacing w:val="17"/>
                <w:sz w:val="24"/>
                <w:szCs w:val="32"/>
              </w:rPr>
            </w:pPr>
          </w:p>
        </w:tc>
      </w:tr>
      <w:tr w14:paraId="73A615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shd w:val="clear" w:color="auto" w:fill="auto"/>
            <w:vAlign w:val="center"/>
          </w:tcPr>
          <w:p w14:paraId="31200B86">
            <w:pPr>
              <w:pStyle w:val="19"/>
              <w:spacing w:line="276" w:lineRule="auto"/>
              <w:jc w:val="center"/>
              <w:rPr>
                <w:rFonts w:hint="eastAsia" w:asciiTheme="minorHAnsi" w:hAnsiTheme="minorHAnsi" w:eastAsiaTheme="minorEastAsia" w:cstheme="minorBidi"/>
                <w:lang w:val="en-US" w:eastAsia="zh-Hans" w:bidi="ar-SA"/>
              </w:rPr>
            </w:pPr>
            <w:r>
              <w:t>★</w:t>
            </w:r>
          </w:p>
        </w:tc>
        <w:tc>
          <w:tcPr>
            <w:tcW w:w="0" w:type="auto"/>
            <w:shd w:val="clear" w:color="auto" w:fill="auto"/>
            <w:vAlign w:val="center"/>
          </w:tcPr>
          <w:p w14:paraId="37A500AA">
            <w:pPr>
              <w:pStyle w:val="19"/>
              <w:spacing w:line="276" w:lineRule="auto"/>
              <w:jc w:val="center"/>
              <w:rPr>
                <w:rFonts w:hint="eastAsia" w:asciiTheme="minorHAnsi" w:hAnsiTheme="minorHAnsi" w:eastAsiaTheme="minorEastAsia" w:cstheme="minorBidi"/>
                <w:lang w:val="en-US" w:eastAsia="zh-CN" w:bidi="ar-SA"/>
              </w:rPr>
            </w:pPr>
            <w:r>
              <w:rPr>
                <w:rFonts w:hint="eastAsia"/>
                <w:lang w:val="en-US" w:eastAsia="zh-CN"/>
              </w:rPr>
              <w:t>17</w:t>
            </w:r>
          </w:p>
        </w:tc>
        <w:tc>
          <w:tcPr>
            <w:tcW w:w="0" w:type="auto"/>
            <w:shd w:val="clear" w:color="auto" w:fill="auto"/>
            <w:vAlign w:val="center"/>
          </w:tcPr>
          <w:p w14:paraId="7ED8E493">
            <w:pPr>
              <w:numPr>
                <w:ilvl w:val="0"/>
                <w:numId w:val="0"/>
              </w:numPr>
              <w:spacing w:line="276" w:lineRule="auto"/>
              <w:ind w:left="0" w:leftChars="0" w:firstLine="0" w:firstLineChars="0"/>
              <w:jc w:val="both"/>
              <w:rPr>
                <w:rFonts w:hint="eastAsia" w:ascii="新宋体" w:hAnsi="新宋体" w:eastAsia="新宋体" w:cs="Arial Unicode MS"/>
                <w:kern w:val="2"/>
                <w:sz w:val="21"/>
                <w:szCs w:val="21"/>
                <w:lang w:val="en-US" w:eastAsia="zh-CN" w:bidi="ar-SA"/>
              </w:rPr>
            </w:pPr>
            <w:r>
              <w:rPr>
                <w:rFonts w:hint="eastAsia" w:ascii="新宋体" w:hAnsi="新宋体" w:eastAsia="新宋体" w:cs="Arial Unicode MS"/>
                <w:szCs w:val="21"/>
                <w:lang w:val="en-US" w:eastAsia="zh-CN"/>
              </w:rPr>
              <w:t>提供厂家授权书</w:t>
            </w:r>
          </w:p>
        </w:tc>
        <w:tc>
          <w:tcPr>
            <w:tcW w:w="0" w:type="auto"/>
          </w:tcPr>
          <w:p w14:paraId="5CF1EC4C">
            <w:pPr>
              <w:pStyle w:val="19"/>
              <w:spacing w:line="276" w:lineRule="auto"/>
              <w:jc w:val="both"/>
              <w:rPr>
                <w:spacing w:val="17"/>
                <w:sz w:val="24"/>
                <w:szCs w:val="32"/>
              </w:rPr>
            </w:pPr>
          </w:p>
        </w:tc>
        <w:tc>
          <w:tcPr>
            <w:tcW w:w="0" w:type="auto"/>
          </w:tcPr>
          <w:p w14:paraId="06CA3090">
            <w:pPr>
              <w:pStyle w:val="19"/>
              <w:spacing w:line="276" w:lineRule="auto"/>
              <w:jc w:val="both"/>
              <w:rPr>
                <w:spacing w:val="17"/>
                <w:sz w:val="24"/>
                <w:szCs w:val="32"/>
              </w:rPr>
            </w:pPr>
          </w:p>
        </w:tc>
      </w:tr>
    </w:tbl>
    <w:p w14:paraId="7ED1AE7A">
      <w:pPr>
        <w:pStyle w:val="19"/>
        <w:spacing w:line="360" w:lineRule="auto"/>
        <w:rPr>
          <w:rFonts w:hint="default"/>
        </w:rPr>
      </w:pPr>
    </w:p>
    <w:sectPr>
      <w:footerReference r:id="rId4" w:type="default"/>
      <w:pgSz w:w="11906" w:h="16838"/>
      <w:pgMar w:top="1440" w:right="1800" w:bottom="1276" w:left="1800" w:header="851" w:footer="526"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modern"/>
    <w:pitch w:val="default"/>
    <w:sig w:usb0="00000203" w:usb1="288F0000" w:usb2="0000000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CE280">
    <w:pPr>
      <w:pStyle w:val="8"/>
      <w:jc w:val="center"/>
    </w:pPr>
  </w:p>
  <w:p w14:paraId="0724D887">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31954267"/>
      <w:docPartObj>
        <w:docPartGallery w:val="autotext"/>
      </w:docPartObj>
    </w:sdtPr>
    <w:sdtContent>
      <w:p w14:paraId="24F9F0EA">
        <w:pPr>
          <w:pStyle w:val="8"/>
          <w:pBdr>
            <w:top w:val="single" w:color="auto" w:sz="4" w:space="1"/>
          </w:pBdr>
          <w:jc w:val="center"/>
        </w:pPr>
        <w:r>
          <w:fldChar w:fldCharType="begin"/>
        </w:r>
        <w:r>
          <w:instrText xml:space="preserve">PAGE   \* MERGEFORMAT</w:instrText>
        </w:r>
        <w:r>
          <w:fldChar w:fldCharType="separate"/>
        </w:r>
        <w:r>
          <w:rPr>
            <w:lang w:val="zh-CN"/>
          </w:rPr>
          <w:t>36</w:t>
        </w:r>
        <w:r>
          <w:fldChar w:fldCharType="end"/>
        </w:r>
      </w:p>
    </w:sdtContent>
  </w:sdt>
  <w:p w14:paraId="239C063E">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B9859"/>
    <w:multiLevelType w:val="singleLevel"/>
    <w:tmpl w:val="B07B9859"/>
    <w:lvl w:ilvl="0" w:tentative="0">
      <w:start w:val="4"/>
      <w:numFmt w:val="chineseCounting"/>
      <w:suff w:val="nothing"/>
      <w:lvlText w:val="%1、"/>
      <w:lvlJc w:val="left"/>
      <w:rPr>
        <w:rFonts w:hint="eastAsia"/>
      </w:rPr>
    </w:lvl>
  </w:abstractNum>
  <w:abstractNum w:abstractNumId="1">
    <w:nsid w:val="2A3576A8"/>
    <w:multiLevelType w:val="multilevel"/>
    <w:tmpl w:val="2A3576A8"/>
    <w:lvl w:ilvl="0" w:tentative="0">
      <w:start w:val="1"/>
      <w:numFmt w:val="bullet"/>
      <w:lvlText w:val="★"/>
      <w:lvlJc w:val="left"/>
      <w:pPr>
        <w:ind w:left="562" w:hanging="420"/>
      </w:pPr>
      <w:rPr>
        <w:rFonts w:hint="eastAsia" w:ascii="仿宋" w:hAnsi="仿宋" w:eastAsia="仿宋"/>
        <w:sz w:val="36"/>
        <w:szCs w:val="36"/>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A92775-839C-4909-B458-FA022F169DE9}">
  <ds:schemaRefs/>
</ds:datastoreItem>
</file>